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71" w:rsidRDefault="000D50D0" w:rsidP="000D50D0">
      <w:pPr>
        <w:jc w:val="center"/>
        <w:rPr>
          <w:b/>
        </w:rPr>
      </w:pPr>
      <w:bookmarkStart w:id="0" w:name="_GoBack"/>
      <w:bookmarkEnd w:id="0"/>
      <w:r>
        <w:rPr>
          <w:b/>
          <w:sz w:val="28"/>
          <w:szCs w:val="28"/>
        </w:rPr>
        <w:t>Best Interests Assessor capabilities self-assessment</w:t>
      </w:r>
    </w:p>
    <w:p w:rsidR="000D50D0" w:rsidRDefault="000D50D0" w:rsidP="000D50D0">
      <w:pPr>
        <w:jc w:val="center"/>
      </w:pPr>
      <w:r w:rsidRPr="000D50D0">
        <w:t xml:space="preserve">This </w:t>
      </w:r>
      <w:r>
        <w:t>tool is designed to help Best Interests Assessors (BIAs) to identify areas of confidence and development needs in their knowledge and practice and will support action planning to address those needs. It will be useful for both BIAs in training and qualified BIAs wishing to ensure they maintain their skills and knowledge. It uses the College of Social Work’s six BIA capabilities</w:t>
      </w:r>
      <w:r w:rsidR="00084F36">
        <w:t xml:space="preserve"> and can be used as evidence of CPD planning towards your professional registration</w:t>
      </w:r>
      <w:r>
        <w:t xml:space="preserve">. </w:t>
      </w:r>
    </w:p>
    <w:p w:rsidR="000D50D0" w:rsidRPr="00EA59B1" w:rsidRDefault="000D50D0" w:rsidP="000D50D0">
      <w:pPr>
        <w:jc w:val="center"/>
        <w:rPr>
          <w:sz w:val="28"/>
          <w:szCs w:val="28"/>
        </w:rPr>
      </w:pPr>
    </w:p>
    <w:tbl>
      <w:tblPr>
        <w:tblStyle w:val="TableGrid"/>
        <w:tblW w:w="0" w:type="auto"/>
        <w:tblLook w:val="04A0" w:firstRow="1" w:lastRow="0" w:firstColumn="1" w:lastColumn="0" w:noHBand="0" w:noVBand="1"/>
      </w:tblPr>
      <w:tblGrid>
        <w:gridCol w:w="3284"/>
        <w:gridCol w:w="10664"/>
      </w:tblGrid>
      <w:tr w:rsidR="004B26CB" w:rsidRPr="00EA59B1" w:rsidTr="00845263">
        <w:trPr>
          <w:tblHeader/>
        </w:trPr>
        <w:tc>
          <w:tcPr>
            <w:tcW w:w="3312" w:type="dxa"/>
          </w:tcPr>
          <w:p w:rsidR="004B26CB" w:rsidRPr="00EA59B1" w:rsidRDefault="004B26CB" w:rsidP="004B26CB">
            <w:pPr>
              <w:rPr>
                <w:b/>
                <w:sz w:val="28"/>
                <w:szCs w:val="28"/>
              </w:rPr>
            </w:pPr>
            <w:r>
              <w:rPr>
                <w:b/>
                <w:sz w:val="28"/>
                <w:szCs w:val="28"/>
              </w:rPr>
              <w:t>Name of BIA:</w:t>
            </w:r>
          </w:p>
        </w:tc>
        <w:tc>
          <w:tcPr>
            <w:tcW w:w="10862" w:type="dxa"/>
          </w:tcPr>
          <w:p w:rsidR="004B26CB" w:rsidRPr="004B26CB" w:rsidRDefault="004B26CB" w:rsidP="000D50D0">
            <w:pPr>
              <w:jc w:val="center"/>
            </w:pPr>
          </w:p>
        </w:tc>
      </w:tr>
      <w:tr w:rsidR="004B26CB" w:rsidRPr="00EA59B1" w:rsidTr="00303DA6">
        <w:trPr>
          <w:tblHeader/>
        </w:trPr>
        <w:tc>
          <w:tcPr>
            <w:tcW w:w="3312" w:type="dxa"/>
          </w:tcPr>
          <w:p w:rsidR="004B26CB" w:rsidRPr="00EA59B1" w:rsidRDefault="004B26CB" w:rsidP="004B26CB">
            <w:pPr>
              <w:rPr>
                <w:b/>
                <w:sz w:val="28"/>
                <w:szCs w:val="28"/>
              </w:rPr>
            </w:pPr>
            <w:r>
              <w:rPr>
                <w:b/>
                <w:sz w:val="28"/>
                <w:szCs w:val="28"/>
              </w:rPr>
              <w:t>Date of completion:</w:t>
            </w:r>
          </w:p>
        </w:tc>
        <w:tc>
          <w:tcPr>
            <w:tcW w:w="10862" w:type="dxa"/>
          </w:tcPr>
          <w:p w:rsidR="004B26CB" w:rsidRPr="004B26CB" w:rsidRDefault="004B26CB" w:rsidP="000D50D0">
            <w:pPr>
              <w:jc w:val="center"/>
            </w:pPr>
          </w:p>
        </w:tc>
      </w:tr>
    </w:tbl>
    <w:p w:rsidR="004B26CB" w:rsidRDefault="004B26CB"/>
    <w:tbl>
      <w:tblPr>
        <w:tblStyle w:val="TableGrid"/>
        <w:tblW w:w="0" w:type="auto"/>
        <w:tblLook w:val="04A0" w:firstRow="1" w:lastRow="0" w:firstColumn="1" w:lastColumn="0" w:noHBand="0" w:noVBand="1"/>
      </w:tblPr>
      <w:tblGrid>
        <w:gridCol w:w="3269"/>
        <w:gridCol w:w="5524"/>
        <w:gridCol w:w="1203"/>
        <w:gridCol w:w="10"/>
        <w:gridCol w:w="16"/>
        <w:gridCol w:w="43"/>
        <w:gridCol w:w="15"/>
        <w:gridCol w:w="1290"/>
        <w:gridCol w:w="27"/>
        <w:gridCol w:w="12"/>
        <w:gridCol w:w="21"/>
        <w:gridCol w:w="19"/>
        <w:gridCol w:w="1185"/>
        <w:gridCol w:w="9"/>
        <w:gridCol w:w="16"/>
        <w:gridCol w:w="12"/>
        <w:gridCol w:w="1277"/>
      </w:tblGrid>
      <w:tr w:rsidR="000D50D0" w:rsidRPr="00EA59B1" w:rsidTr="00E07117">
        <w:trPr>
          <w:tblHeader/>
        </w:trPr>
        <w:tc>
          <w:tcPr>
            <w:tcW w:w="3312" w:type="dxa"/>
          </w:tcPr>
          <w:p w:rsidR="000D50D0" w:rsidRPr="00EA59B1" w:rsidRDefault="000D50D0" w:rsidP="000D50D0">
            <w:pPr>
              <w:jc w:val="center"/>
              <w:rPr>
                <w:b/>
                <w:sz w:val="28"/>
                <w:szCs w:val="28"/>
              </w:rPr>
            </w:pPr>
            <w:r w:rsidRPr="00EA59B1">
              <w:rPr>
                <w:b/>
                <w:sz w:val="28"/>
                <w:szCs w:val="28"/>
              </w:rPr>
              <w:t>BIA capability</w:t>
            </w:r>
          </w:p>
        </w:tc>
        <w:tc>
          <w:tcPr>
            <w:tcW w:w="5693" w:type="dxa"/>
          </w:tcPr>
          <w:p w:rsidR="000D50D0" w:rsidRPr="00EA59B1" w:rsidRDefault="000D50D0" w:rsidP="000D50D0">
            <w:pPr>
              <w:jc w:val="center"/>
              <w:rPr>
                <w:b/>
                <w:sz w:val="28"/>
                <w:szCs w:val="28"/>
              </w:rPr>
            </w:pPr>
            <w:r w:rsidRPr="00EA59B1">
              <w:rPr>
                <w:b/>
                <w:sz w:val="28"/>
                <w:szCs w:val="28"/>
              </w:rPr>
              <w:t>Expectations</w:t>
            </w:r>
          </w:p>
        </w:tc>
        <w:tc>
          <w:tcPr>
            <w:tcW w:w="5169" w:type="dxa"/>
            <w:gridSpan w:val="15"/>
          </w:tcPr>
          <w:p w:rsidR="000D50D0" w:rsidRPr="00EA59B1" w:rsidRDefault="000D50D0" w:rsidP="000D50D0">
            <w:pPr>
              <w:jc w:val="center"/>
              <w:rPr>
                <w:sz w:val="28"/>
                <w:szCs w:val="28"/>
              </w:rPr>
            </w:pPr>
            <w:r w:rsidRPr="00EA59B1">
              <w:rPr>
                <w:b/>
                <w:sz w:val="28"/>
                <w:szCs w:val="28"/>
              </w:rPr>
              <w:t>Confidence in this area</w:t>
            </w:r>
            <w:r w:rsidRPr="00EA59B1">
              <w:rPr>
                <w:sz w:val="28"/>
                <w:szCs w:val="28"/>
              </w:rPr>
              <w:t xml:space="preserve"> (circle one)</w:t>
            </w:r>
          </w:p>
        </w:tc>
      </w:tr>
      <w:tr w:rsidR="00632721" w:rsidTr="00E07117">
        <w:trPr>
          <w:trHeight w:val="2625"/>
        </w:trPr>
        <w:tc>
          <w:tcPr>
            <w:tcW w:w="3312" w:type="dxa"/>
            <w:vMerge w:val="restart"/>
          </w:tcPr>
          <w:p w:rsidR="00632721" w:rsidRPr="00EA59B1" w:rsidRDefault="00632721" w:rsidP="0035160F">
            <w:pPr>
              <w:pStyle w:val="Default"/>
              <w:numPr>
                <w:ilvl w:val="0"/>
                <w:numId w:val="3"/>
              </w:numPr>
              <w:ind w:left="426" w:hanging="284"/>
              <w:rPr>
                <w:b/>
              </w:rPr>
            </w:pPr>
            <w:r w:rsidRPr="00EA59B1">
              <w:rPr>
                <w:b/>
                <w:bCs/>
              </w:rPr>
              <w:t xml:space="preserve">The ability to apply in practice, and maintain knowledge of, relevant legal and policy frameworks </w:t>
            </w:r>
          </w:p>
        </w:tc>
        <w:tc>
          <w:tcPr>
            <w:tcW w:w="5693" w:type="dxa"/>
            <w:vMerge w:val="restart"/>
          </w:tcPr>
          <w:p w:rsidR="003F47DD" w:rsidRPr="00EA59B1" w:rsidRDefault="003F47DD" w:rsidP="003F47DD">
            <w:pPr>
              <w:pStyle w:val="Default"/>
              <w:rPr>
                <w:b/>
              </w:rPr>
            </w:pPr>
            <w:r w:rsidRPr="00EA59B1">
              <w:rPr>
                <w:b/>
              </w:rPr>
              <w:t xml:space="preserve">1.1 A working knowledge of: </w:t>
            </w:r>
          </w:p>
          <w:p w:rsidR="003F47DD" w:rsidRPr="00EA59B1" w:rsidRDefault="003F47DD" w:rsidP="003F47DD">
            <w:pPr>
              <w:pStyle w:val="Default"/>
            </w:pPr>
            <w:r w:rsidRPr="00EA59B1">
              <w:t xml:space="preserve">(i) Mental capacity legislation and the Deprivation of Liberty Safeguards (DoLS), their related codes of practice, national and local policy guidance </w:t>
            </w:r>
          </w:p>
          <w:p w:rsidR="003F47DD" w:rsidRPr="00EA59B1" w:rsidRDefault="003F47DD" w:rsidP="003F47DD">
            <w:pPr>
              <w:pStyle w:val="Default"/>
            </w:pPr>
            <w:r w:rsidRPr="00EA59B1">
              <w:t xml:space="preserve">(ii) Relevant parts of other legislation, codes of practice, national and local policy guidance, in particular the Human Rights Act 1998, the Mental Health Acts (MHA) 1983 and 2007, and law/policy related to Adult Safeguarding </w:t>
            </w:r>
          </w:p>
          <w:p w:rsidR="003F47DD" w:rsidRPr="00EA59B1" w:rsidRDefault="003F47DD" w:rsidP="003F47DD">
            <w:pPr>
              <w:pStyle w:val="Default"/>
            </w:pPr>
            <w:r w:rsidRPr="00EA59B1">
              <w:t xml:space="preserve">(iii) Relevant case law and its application in practice </w:t>
            </w:r>
          </w:p>
          <w:p w:rsidR="003F47DD" w:rsidRPr="00EA59B1" w:rsidRDefault="003F47DD" w:rsidP="003F47DD">
            <w:pPr>
              <w:pStyle w:val="Default"/>
            </w:pPr>
            <w:r w:rsidRPr="00EA59B1">
              <w:t xml:space="preserve">(iv) The developing concept of deprivation of liberty </w:t>
            </w:r>
          </w:p>
          <w:p w:rsidR="00632721" w:rsidRDefault="003F47DD" w:rsidP="003F47DD">
            <w:r w:rsidRPr="00EA59B1">
              <w:t>(vi) The legal position and accountability of DoLS/BIAs in relation to the MCA, any employing organisation and the authority on whose behalf they are acting.</w:t>
            </w:r>
          </w:p>
        </w:tc>
        <w:tc>
          <w:tcPr>
            <w:tcW w:w="1204" w:type="dxa"/>
          </w:tcPr>
          <w:p w:rsidR="00632721" w:rsidRPr="008B0F83" w:rsidRDefault="00632721" w:rsidP="000D50D0">
            <w:r w:rsidRPr="008B0F83">
              <w:t>Very confident</w:t>
            </w:r>
          </w:p>
        </w:tc>
        <w:tc>
          <w:tcPr>
            <w:tcW w:w="1462" w:type="dxa"/>
            <w:gridSpan w:val="9"/>
          </w:tcPr>
          <w:p w:rsidR="00632721" w:rsidRPr="008B0F83" w:rsidRDefault="00632721" w:rsidP="000D50D0">
            <w:r w:rsidRPr="008B0F83">
              <w:t>Confident</w:t>
            </w:r>
          </w:p>
        </w:tc>
        <w:tc>
          <w:tcPr>
            <w:tcW w:w="1210" w:type="dxa"/>
            <w:gridSpan w:val="3"/>
          </w:tcPr>
          <w:p w:rsidR="00632721" w:rsidRPr="008B0F83" w:rsidRDefault="00632721" w:rsidP="000D50D0">
            <w:r w:rsidRPr="008B0F83">
              <w:t xml:space="preserve">A little confident </w:t>
            </w:r>
          </w:p>
        </w:tc>
        <w:tc>
          <w:tcPr>
            <w:tcW w:w="1293" w:type="dxa"/>
            <w:gridSpan w:val="2"/>
          </w:tcPr>
          <w:p w:rsidR="00632721" w:rsidRPr="008B0F83" w:rsidRDefault="00632721" w:rsidP="000D50D0">
            <w:r w:rsidRPr="008B0F83">
              <w:t>Not confident</w:t>
            </w:r>
          </w:p>
        </w:tc>
      </w:tr>
      <w:tr w:rsidR="00632721" w:rsidTr="00E07117">
        <w:trPr>
          <w:trHeight w:val="876"/>
        </w:trPr>
        <w:tc>
          <w:tcPr>
            <w:tcW w:w="3312" w:type="dxa"/>
            <w:vMerge/>
          </w:tcPr>
          <w:p w:rsidR="00632721" w:rsidRPr="00EA59B1" w:rsidRDefault="00632721" w:rsidP="0035160F">
            <w:pPr>
              <w:pStyle w:val="Default"/>
              <w:numPr>
                <w:ilvl w:val="0"/>
                <w:numId w:val="3"/>
              </w:numPr>
              <w:ind w:left="426" w:hanging="284"/>
              <w:rPr>
                <w:b/>
                <w:bCs/>
              </w:rPr>
            </w:pPr>
          </w:p>
        </w:tc>
        <w:tc>
          <w:tcPr>
            <w:tcW w:w="5693" w:type="dxa"/>
            <w:vMerge/>
          </w:tcPr>
          <w:p w:rsidR="00632721" w:rsidRPr="00EA59B1" w:rsidRDefault="00632721" w:rsidP="00EA59B1">
            <w:pPr>
              <w:pStyle w:val="Default"/>
              <w:rPr>
                <w:b/>
              </w:rPr>
            </w:pPr>
          </w:p>
        </w:tc>
        <w:tc>
          <w:tcPr>
            <w:tcW w:w="5169" w:type="dxa"/>
            <w:gridSpan w:val="15"/>
          </w:tcPr>
          <w:p w:rsidR="00632721" w:rsidRPr="00632721" w:rsidRDefault="00632721" w:rsidP="0035160F">
            <w:r>
              <w:rPr>
                <w:b/>
              </w:rPr>
              <w:t xml:space="preserve">Where little or no confidence identified above, specify </w:t>
            </w:r>
            <w:r w:rsidR="00B34193">
              <w:rPr>
                <w:b/>
              </w:rPr>
              <w:t xml:space="preserve">below </w:t>
            </w:r>
            <w:r>
              <w:rPr>
                <w:b/>
              </w:rPr>
              <w:t xml:space="preserve">which expectation/s you </w:t>
            </w:r>
            <w:r w:rsidR="0035160F">
              <w:rPr>
                <w:b/>
              </w:rPr>
              <w:t>need to work on</w:t>
            </w:r>
          </w:p>
        </w:tc>
      </w:tr>
      <w:tr w:rsidR="00632721" w:rsidTr="00E07117">
        <w:trPr>
          <w:trHeight w:val="1312"/>
        </w:trPr>
        <w:tc>
          <w:tcPr>
            <w:tcW w:w="3312" w:type="dxa"/>
            <w:vMerge/>
          </w:tcPr>
          <w:p w:rsidR="00632721" w:rsidRPr="00EA59B1" w:rsidRDefault="00632721" w:rsidP="0035160F">
            <w:pPr>
              <w:pStyle w:val="Default"/>
              <w:numPr>
                <w:ilvl w:val="0"/>
                <w:numId w:val="3"/>
              </w:numPr>
              <w:ind w:left="426" w:hanging="284"/>
              <w:rPr>
                <w:b/>
                <w:bCs/>
              </w:rPr>
            </w:pPr>
          </w:p>
        </w:tc>
        <w:tc>
          <w:tcPr>
            <w:tcW w:w="5693" w:type="dxa"/>
            <w:vMerge/>
          </w:tcPr>
          <w:p w:rsidR="00632721" w:rsidRPr="00EA59B1" w:rsidRDefault="00632721" w:rsidP="00EA59B1">
            <w:pPr>
              <w:pStyle w:val="Default"/>
              <w:rPr>
                <w:b/>
              </w:rPr>
            </w:pPr>
          </w:p>
        </w:tc>
        <w:tc>
          <w:tcPr>
            <w:tcW w:w="5169" w:type="dxa"/>
            <w:gridSpan w:val="15"/>
          </w:tcPr>
          <w:p w:rsidR="00632721" w:rsidRPr="00632721" w:rsidRDefault="00632721" w:rsidP="000D50D0"/>
        </w:tc>
      </w:tr>
      <w:tr w:rsidR="00632721" w:rsidTr="00E07117">
        <w:trPr>
          <w:trHeight w:val="3315"/>
        </w:trPr>
        <w:tc>
          <w:tcPr>
            <w:tcW w:w="3312" w:type="dxa"/>
            <w:vMerge/>
          </w:tcPr>
          <w:p w:rsidR="00632721" w:rsidRPr="00EA59B1" w:rsidRDefault="00632721" w:rsidP="0035160F">
            <w:pPr>
              <w:pStyle w:val="Default"/>
              <w:numPr>
                <w:ilvl w:val="0"/>
                <w:numId w:val="3"/>
              </w:numPr>
              <w:ind w:left="426" w:hanging="284"/>
              <w:rPr>
                <w:b/>
                <w:bCs/>
              </w:rPr>
            </w:pPr>
          </w:p>
        </w:tc>
        <w:tc>
          <w:tcPr>
            <w:tcW w:w="5693" w:type="dxa"/>
            <w:vMerge w:val="restart"/>
          </w:tcPr>
          <w:p w:rsidR="00632721" w:rsidRPr="00EA59B1" w:rsidRDefault="00632721" w:rsidP="00EA59B1">
            <w:pPr>
              <w:pStyle w:val="Default"/>
              <w:rPr>
                <w:b/>
              </w:rPr>
            </w:pPr>
            <w:r w:rsidRPr="00EA59B1">
              <w:rPr>
                <w:b/>
              </w:rPr>
              <w:t xml:space="preserve">1.2 The ability to: </w:t>
            </w:r>
          </w:p>
          <w:p w:rsidR="00632721" w:rsidRPr="00EA59B1" w:rsidRDefault="00632721" w:rsidP="00EA59B1">
            <w:pPr>
              <w:pStyle w:val="Default"/>
            </w:pPr>
            <w:r w:rsidRPr="00EA59B1">
              <w:t xml:space="preserve">(i) Base DoLS/BIA practice on a critical evaluation of a range of case law and research relevant to evidence-based practice </w:t>
            </w:r>
          </w:p>
          <w:p w:rsidR="00632721" w:rsidRPr="00EA59B1" w:rsidRDefault="00632721" w:rsidP="00EA59B1">
            <w:pPr>
              <w:pStyle w:val="Default"/>
            </w:pPr>
            <w:r w:rsidRPr="00EA59B1">
              <w:t xml:space="preserve">(ii) Provide a clearly evidenced, written rationale of the process including where relevant information on differences of opinion, and how information has been analysed and used to reach an evidence-informed professional opinion </w:t>
            </w:r>
          </w:p>
          <w:p w:rsidR="00632721" w:rsidRPr="00EA59B1" w:rsidRDefault="00632721" w:rsidP="00EA59B1">
            <w:pPr>
              <w:pStyle w:val="Default"/>
            </w:pPr>
            <w:r w:rsidRPr="00EA59B1">
              <w:t xml:space="preserve">(iii) Analyse and critically reflect on personal practice in order to identify achievements and opportunities for further development </w:t>
            </w:r>
          </w:p>
          <w:p w:rsidR="00632721" w:rsidRPr="00EA59B1" w:rsidRDefault="00632721" w:rsidP="00EA59B1">
            <w:pPr>
              <w:pStyle w:val="Default"/>
            </w:pPr>
            <w:r w:rsidRPr="00EA59B1">
              <w:t xml:space="preserve">(iv) Exercise the appropriate use of independence, authority and autonomy and use it to inform their future practice as a BIA </w:t>
            </w:r>
          </w:p>
          <w:p w:rsidR="00632721" w:rsidRPr="00EA59B1" w:rsidRDefault="00632721" w:rsidP="00EA59B1">
            <w:pPr>
              <w:pStyle w:val="Default"/>
            </w:pPr>
            <w:r w:rsidRPr="00EA59B1">
              <w:t>(v) Work within their area of competence, seeking further advice as appropriate</w:t>
            </w:r>
          </w:p>
          <w:p w:rsidR="00632721" w:rsidRDefault="00632721" w:rsidP="00EA59B1">
            <w:pPr>
              <w:pStyle w:val="Default"/>
              <w:rPr>
                <w:sz w:val="23"/>
                <w:szCs w:val="23"/>
              </w:rPr>
            </w:pPr>
            <w:r w:rsidRPr="00EA59B1">
              <w:t xml:space="preserve">(vi) Assert a social perspective and make properly informed independent decisions in tight timescales. </w:t>
            </w:r>
          </w:p>
        </w:tc>
        <w:tc>
          <w:tcPr>
            <w:tcW w:w="1214" w:type="dxa"/>
            <w:gridSpan w:val="2"/>
          </w:tcPr>
          <w:p w:rsidR="00632721" w:rsidRPr="008B0F83" w:rsidRDefault="00632721" w:rsidP="00F3157F">
            <w:r w:rsidRPr="008B0F83">
              <w:t>Very confident</w:t>
            </w:r>
          </w:p>
        </w:tc>
        <w:tc>
          <w:tcPr>
            <w:tcW w:w="1432" w:type="dxa"/>
            <w:gridSpan w:val="7"/>
          </w:tcPr>
          <w:p w:rsidR="00632721" w:rsidRPr="008B0F83" w:rsidRDefault="00632721" w:rsidP="00F3157F">
            <w:r w:rsidRPr="008B0F83">
              <w:t>Confident</w:t>
            </w:r>
          </w:p>
        </w:tc>
        <w:tc>
          <w:tcPr>
            <w:tcW w:w="1214" w:type="dxa"/>
            <w:gridSpan w:val="3"/>
          </w:tcPr>
          <w:p w:rsidR="00632721" w:rsidRPr="008B0F83" w:rsidRDefault="00632721" w:rsidP="00F3157F">
            <w:r w:rsidRPr="008B0F83">
              <w:t xml:space="preserve">A little confident </w:t>
            </w:r>
          </w:p>
        </w:tc>
        <w:tc>
          <w:tcPr>
            <w:tcW w:w="1309" w:type="dxa"/>
            <w:gridSpan w:val="3"/>
          </w:tcPr>
          <w:p w:rsidR="00632721" w:rsidRPr="008B0F83" w:rsidRDefault="00632721" w:rsidP="00F3157F">
            <w:r w:rsidRPr="008B0F83">
              <w:t>Not confident</w:t>
            </w:r>
          </w:p>
        </w:tc>
      </w:tr>
      <w:tr w:rsidR="00632721" w:rsidTr="00E07117">
        <w:trPr>
          <w:trHeight w:val="874"/>
        </w:trPr>
        <w:tc>
          <w:tcPr>
            <w:tcW w:w="3312" w:type="dxa"/>
            <w:vMerge/>
          </w:tcPr>
          <w:p w:rsidR="00632721" w:rsidRPr="00EA59B1" w:rsidRDefault="00632721" w:rsidP="0035160F">
            <w:pPr>
              <w:pStyle w:val="Default"/>
              <w:numPr>
                <w:ilvl w:val="0"/>
                <w:numId w:val="3"/>
              </w:numPr>
              <w:ind w:left="426" w:hanging="284"/>
              <w:rPr>
                <w:b/>
                <w:bCs/>
              </w:rPr>
            </w:pPr>
          </w:p>
        </w:tc>
        <w:tc>
          <w:tcPr>
            <w:tcW w:w="5693" w:type="dxa"/>
            <w:vMerge/>
          </w:tcPr>
          <w:p w:rsidR="00632721" w:rsidRPr="00EA59B1" w:rsidRDefault="00632721" w:rsidP="00EA59B1">
            <w:pPr>
              <w:pStyle w:val="Default"/>
              <w:rPr>
                <w:b/>
              </w:rPr>
            </w:pPr>
          </w:p>
        </w:tc>
        <w:tc>
          <w:tcPr>
            <w:tcW w:w="5169" w:type="dxa"/>
            <w:gridSpan w:val="15"/>
          </w:tcPr>
          <w:p w:rsidR="00632721" w:rsidRDefault="00632721" w:rsidP="00F3157F">
            <w:r>
              <w:rPr>
                <w:b/>
              </w:rPr>
              <w:t xml:space="preserve">Where little or no confidence identified above, specify </w:t>
            </w:r>
            <w:r w:rsidR="00B34193">
              <w:rPr>
                <w:b/>
              </w:rPr>
              <w:t xml:space="preserve">below </w:t>
            </w:r>
            <w:r>
              <w:rPr>
                <w:b/>
              </w:rPr>
              <w:t xml:space="preserve">which expectation/s </w:t>
            </w:r>
            <w:r w:rsidR="0035160F">
              <w:rPr>
                <w:b/>
              </w:rPr>
              <w:t>you need to work on</w:t>
            </w:r>
          </w:p>
        </w:tc>
      </w:tr>
      <w:tr w:rsidR="00632721" w:rsidTr="00E07117">
        <w:trPr>
          <w:trHeight w:val="1657"/>
        </w:trPr>
        <w:tc>
          <w:tcPr>
            <w:tcW w:w="3312" w:type="dxa"/>
            <w:vMerge/>
          </w:tcPr>
          <w:p w:rsidR="00632721" w:rsidRPr="00EA59B1" w:rsidRDefault="00632721" w:rsidP="0035160F">
            <w:pPr>
              <w:pStyle w:val="Default"/>
              <w:numPr>
                <w:ilvl w:val="0"/>
                <w:numId w:val="3"/>
              </w:numPr>
              <w:ind w:left="426" w:hanging="284"/>
              <w:rPr>
                <w:b/>
                <w:bCs/>
              </w:rPr>
            </w:pPr>
          </w:p>
        </w:tc>
        <w:tc>
          <w:tcPr>
            <w:tcW w:w="5693" w:type="dxa"/>
            <w:vMerge/>
          </w:tcPr>
          <w:p w:rsidR="00632721" w:rsidRPr="00EA59B1" w:rsidRDefault="00632721" w:rsidP="00EA59B1">
            <w:pPr>
              <w:pStyle w:val="Default"/>
              <w:rPr>
                <w:b/>
              </w:rPr>
            </w:pPr>
          </w:p>
        </w:tc>
        <w:tc>
          <w:tcPr>
            <w:tcW w:w="5169" w:type="dxa"/>
            <w:gridSpan w:val="15"/>
          </w:tcPr>
          <w:p w:rsidR="00632721" w:rsidRDefault="00632721" w:rsidP="00C448FB"/>
        </w:tc>
      </w:tr>
      <w:tr w:rsidR="00B34193" w:rsidTr="00E07117">
        <w:trPr>
          <w:trHeight w:val="2070"/>
        </w:trPr>
        <w:tc>
          <w:tcPr>
            <w:tcW w:w="3312" w:type="dxa"/>
            <w:vMerge w:val="restart"/>
          </w:tcPr>
          <w:p w:rsidR="00B34193" w:rsidRPr="00EA59B1" w:rsidRDefault="00B34193" w:rsidP="0035160F">
            <w:pPr>
              <w:pStyle w:val="Default"/>
              <w:numPr>
                <w:ilvl w:val="0"/>
                <w:numId w:val="3"/>
              </w:numPr>
              <w:ind w:left="426" w:hanging="284"/>
              <w:rPr>
                <w:b/>
              </w:rPr>
            </w:pPr>
            <w:r w:rsidRPr="00EA59B1">
              <w:rPr>
                <w:b/>
                <w:bCs/>
              </w:rPr>
              <w:t xml:space="preserve">The ability to work in a manner congruent with the presumption of capacity </w:t>
            </w:r>
          </w:p>
        </w:tc>
        <w:tc>
          <w:tcPr>
            <w:tcW w:w="5693" w:type="dxa"/>
            <w:vMerge w:val="restart"/>
          </w:tcPr>
          <w:p w:rsidR="00B34193" w:rsidRPr="00B34193" w:rsidRDefault="00B34193" w:rsidP="00F3157F">
            <w:pPr>
              <w:pStyle w:val="Default"/>
              <w:rPr>
                <w:b/>
              </w:rPr>
            </w:pPr>
            <w:r w:rsidRPr="00B34193">
              <w:rPr>
                <w:b/>
              </w:rPr>
              <w:t xml:space="preserve">2.1 An understanding of: </w:t>
            </w:r>
          </w:p>
          <w:p w:rsidR="00B34193" w:rsidRPr="00B34193" w:rsidRDefault="00B34193" w:rsidP="00F3157F">
            <w:pPr>
              <w:pStyle w:val="Default"/>
            </w:pPr>
            <w:r w:rsidRPr="00B34193">
              <w:t xml:space="preserve">(i) The Human Rights Act in particular the basic rights to personal autonomy, choice, privacy, liberty and self-determination, providing challenge to others where needed </w:t>
            </w:r>
          </w:p>
          <w:p w:rsidR="00B34193" w:rsidRPr="00B34193" w:rsidRDefault="00B34193" w:rsidP="00F3157F">
            <w:pPr>
              <w:pStyle w:val="Default"/>
            </w:pPr>
            <w:r w:rsidRPr="00B34193">
              <w:t xml:space="preserve">(ii) The formal two-stage assessment of capacity </w:t>
            </w:r>
          </w:p>
          <w:p w:rsidR="00B34193" w:rsidRPr="00B34193" w:rsidRDefault="00B34193" w:rsidP="00F3157F">
            <w:pPr>
              <w:pStyle w:val="Default"/>
            </w:pPr>
            <w:r w:rsidRPr="00B34193">
              <w:t xml:space="preserve">(iii) Advance decisions and lasting powers of attorney including in relation to refusing life sustaining treatment </w:t>
            </w:r>
          </w:p>
          <w:p w:rsidR="00B34193" w:rsidRPr="00B34193" w:rsidRDefault="00B34193" w:rsidP="00F3157F">
            <w:r w:rsidRPr="00B34193">
              <w:lastRenderedPageBreak/>
              <w:t xml:space="preserve">(iv) The role of the relevant person’s representative, and the role of the relevant person in choosing their representative. </w:t>
            </w:r>
          </w:p>
        </w:tc>
        <w:tc>
          <w:tcPr>
            <w:tcW w:w="1231" w:type="dxa"/>
            <w:gridSpan w:val="3"/>
          </w:tcPr>
          <w:p w:rsidR="00B34193" w:rsidRPr="008B0F83" w:rsidRDefault="00B34193" w:rsidP="00F3157F">
            <w:r w:rsidRPr="008B0F83">
              <w:lastRenderedPageBreak/>
              <w:t>Very confident</w:t>
            </w:r>
          </w:p>
        </w:tc>
        <w:tc>
          <w:tcPr>
            <w:tcW w:w="1393" w:type="dxa"/>
            <w:gridSpan w:val="5"/>
          </w:tcPr>
          <w:p w:rsidR="00B34193" w:rsidRPr="008B0F83" w:rsidRDefault="00B34193" w:rsidP="00F3157F">
            <w:r w:rsidRPr="008B0F83">
              <w:t>Confident</w:t>
            </w:r>
          </w:p>
        </w:tc>
        <w:tc>
          <w:tcPr>
            <w:tcW w:w="1227" w:type="dxa"/>
            <w:gridSpan w:val="3"/>
          </w:tcPr>
          <w:p w:rsidR="00B34193" w:rsidRPr="008B0F83" w:rsidRDefault="00B34193" w:rsidP="00F3157F">
            <w:r w:rsidRPr="008B0F83">
              <w:t xml:space="preserve">A little confident </w:t>
            </w:r>
          </w:p>
        </w:tc>
        <w:tc>
          <w:tcPr>
            <w:tcW w:w="1318" w:type="dxa"/>
            <w:gridSpan w:val="4"/>
          </w:tcPr>
          <w:p w:rsidR="00B34193" w:rsidRPr="008B0F83" w:rsidRDefault="00B34193" w:rsidP="00F3157F">
            <w:r w:rsidRPr="008B0F83">
              <w:t>Not confident</w:t>
            </w:r>
          </w:p>
        </w:tc>
      </w:tr>
      <w:tr w:rsidR="00B34193" w:rsidTr="00E07117">
        <w:trPr>
          <w:trHeight w:val="1035"/>
        </w:trPr>
        <w:tc>
          <w:tcPr>
            <w:tcW w:w="3312" w:type="dxa"/>
            <w:vMerge/>
          </w:tcPr>
          <w:p w:rsidR="00B34193" w:rsidRPr="00EA59B1" w:rsidRDefault="00B34193" w:rsidP="0035160F">
            <w:pPr>
              <w:pStyle w:val="Default"/>
              <w:numPr>
                <w:ilvl w:val="0"/>
                <w:numId w:val="3"/>
              </w:numPr>
              <w:ind w:left="426" w:hanging="284"/>
              <w:rPr>
                <w:b/>
                <w:bCs/>
              </w:rPr>
            </w:pPr>
          </w:p>
        </w:tc>
        <w:tc>
          <w:tcPr>
            <w:tcW w:w="5693" w:type="dxa"/>
            <w:vMerge/>
          </w:tcPr>
          <w:p w:rsidR="00B34193" w:rsidRPr="00B34193" w:rsidRDefault="00B34193" w:rsidP="00F3157F">
            <w:pPr>
              <w:pStyle w:val="Default"/>
              <w:rPr>
                <w:b/>
              </w:rPr>
            </w:pPr>
          </w:p>
        </w:tc>
        <w:tc>
          <w:tcPr>
            <w:tcW w:w="5169" w:type="dxa"/>
            <w:gridSpan w:val="15"/>
          </w:tcPr>
          <w:p w:rsidR="00B34193" w:rsidRDefault="00B34193" w:rsidP="00F3157F">
            <w:r>
              <w:rPr>
                <w:b/>
              </w:rPr>
              <w:t xml:space="preserve">Where little or no confidence identified above, specify below which expectation/s </w:t>
            </w:r>
            <w:r w:rsidR="0035160F">
              <w:rPr>
                <w:b/>
              </w:rPr>
              <w:t>you need to work on</w:t>
            </w:r>
          </w:p>
        </w:tc>
      </w:tr>
      <w:tr w:rsidR="00B34193" w:rsidTr="00E07117">
        <w:trPr>
          <w:trHeight w:val="1035"/>
        </w:trPr>
        <w:tc>
          <w:tcPr>
            <w:tcW w:w="3312" w:type="dxa"/>
            <w:vMerge/>
          </w:tcPr>
          <w:p w:rsidR="00B34193" w:rsidRPr="00EA59B1" w:rsidRDefault="00B34193" w:rsidP="0035160F">
            <w:pPr>
              <w:pStyle w:val="Default"/>
              <w:numPr>
                <w:ilvl w:val="0"/>
                <w:numId w:val="3"/>
              </w:numPr>
              <w:ind w:left="426" w:hanging="284"/>
              <w:rPr>
                <w:b/>
                <w:bCs/>
              </w:rPr>
            </w:pPr>
          </w:p>
        </w:tc>
        <w:tc>
          <w:tcPr>
            <w:tcW w:w="5693" w:type="dxa"/>
            <w:vMerge/>
          </w:tcPr>
          <w:p w:rsidR="00B34193" w:rsidRPr="00B34193" w:rsidRDefault="00B34193" w:rsidP="00F3157F">
            <w:pPr>
              <w:pStyle w:val="Default"/>
              <w:rPr>
                <w:b/>
              </w:rPr>
            </w:pPr>
          </w:p>
        </w:tc>
        <w:tc>
          <w:tcPr>
            <w:tcW w:w="5169" w:type="dxa"/>
            <w:gridSpan w:val="15"/>
          </w:tcPr>
          <w:p w:rsidR="00B34193" w:rsidRDefault="00B34193" w:rsidP="00F3157F"/>
        </w:tc>
      </w:tr>
      <w:tr w:rsidR="00B34193" w:rsidTr="00E07117">
        <w:trPr>
          <w:trHeight w:val="1159"/>
        </w:trPr>
        <w:tc>
          <w:tcPr>
            <w:tcW w:w="3312" w:type="dxa"/>
            <w:vMerge/>
          </w:tcPr>
          <w:p w:rsidR="00B34193" w:rsidRPr="00EA59B1" w:rsidRDefault="00B34193" w:rsidP="0035160F">
            <w:pPr>
              <w:pStyle w:val="Default"/>
              <w:numPr>
                <w:ilvl w:val="0"/>
                <w:numId w:val="3"/>
              </w:numPr>
              <w:ind w:left="426" w:hanging="284"/>
              <w:rPr>
                <w:b/>
                <w:bCs/>
              </w:rPr>
            </w:pPr>
          </w:p>
        </w:tc>
        <w:tc>
          <w:tcPr>
            <w:tcW w:w="5693" w:type="dxa"/>
            <w:vMerge w:val="restart"/>
          </w:tcPr>
          <w:p w:rsidR="00B34193" w:rsidRPr="0035160F" w:rsidRDefault="00B34193" w:rsidP="00F3157F">
            <w:pPr>
              <w:pStyle w:val="Default"/>
              <w:rPr>
                <w:b/>
              </w:rPr>
            </w:pPr>
            <w:r w:rsidRPr="0035160F">
              <w:rPr>
                <w:b/>
              </w:rPr>
              <w:t xml:space="preserve">2.2 The ability to: </w:t>
            </w:r>
          </w:p>
          <w:p w:rsidR="00B34193" w:rsidRPr="0035160F" w:rsidRDefault="00B34193" w:rsidP="00F3157F">
            <w:pPr>
              <w:pStyle w:val="Default"/>
            </w:pPr>
            <w:r w:rsidRPr="0035160F">
              <w:t xml:space="preserve">(i) Competently assess capacity in complex cases, seeking other evidence as appropriate </w:t>
            </w:r>
          </w:p>
          <w:p w:rsidR="00B34193" w:rsidRPr="0035160F" w:rsidRDefault="00B34193" w:rsidP="00F3157F">
            <w:pPr>
              <w:pStyle w:val="Default"/>
            </w:pPr>
            <w:r w:rsidRPr="0035160F">
              <w:t xml:space="preserve">(ii) Understand and respond sensitively to, issues of race, faith, belief, disability, age, sexuality and culture in carrying out DoLS assessments </w:t>
            </w:r>
          </w:p>
          <w:p w:rsidR="00B34193" w:rsidRPr="0035160F" w:rsidRDefault="00B34193" w:rsidP="00F3157F">
            <w:pPr>
              <w:pStyle w:val="Default"/>
            </w:pPr>
            <w:r w:rsidRPr="0035160F">
              <w:t xml:space="preserve">(iii) Consult sensitively all those with an interest in the person’s welfare, and sustain engagement in circumstances where there is hostility or risk </w:t>
            </w:r>
          </w:p>
          <w:p w:rsidR="00B34193" w:rsidRPr="0035160F" w:rsidRDefault="00B34193" w:rsidP="00F3157F">
            <w:pPr>
              <w:pStyle w:val="Default"/>
            </w:pPr>
            <w:r w:rsidRPr="0035160F">
              <w:t xml:space="preserve">(iv) Reflect on the influence and impact of their own values on professional practice </w:t>
            </w:r>
          </w:p>
          <w:p w:rsidR="00B34193" w:rsidRPr="0035160F" w:rsidRDefault="00B34193" w:rsidP="00F3157F">
            <w:pPr>
              <w:pStyle w:val="Default"/>
            </w:pPr>
            <w:r w:rsidRPr="0035160F">
              <w:t>(v) Appropriately identify legally appointed decision makers such as attorneys and court appointed deputies, and assess whether advance decisions are valid and applicable</w:t>
            </w:r>
          </w:p>
          <w:p w:rsidR="00B34193" w:rsidRPr="0035160F" w:rsidRDefault="00B34193" w:rsidP="00F3157F">
            <w:pPr>
              <w:pStyle w:val="Default"/>
            </w:pPr>
            <w:r w:rsidRPr="0035160F">
              <w:t xml:space="preserve">(vi) The ability to promote the rights, dignity and self-determination of the relevant person consistent with their own needs and wishes, to enable them to contribute to the decisions made affecting their quality of life and liberty. </w:t>
            </w:r>
          </w:p>
        </w:tc>
        <w:tc>
          <w:tcPr>
            <w:tcW w:w="1231" w:type="dxa"/>
            <w:gridSpan w:val="3"/>
          </w:tcPr>
          <w:p w:rsidR="00B34193" w:rsidRPr="008B0F83" w:rsidRDefault="00B34193" w:rsidP="00743075">
            <w:r w:rsidRPr="008B0F83">
              <w:t>Very confident</w:t>
            </w:r>
          </w:p>
        </w:tc>
        <w:tc>
          <w:tcPr>
            <w:tcW w:w="1381" w:type="dxa"/>
            <w:gridSpan w:val="4"/>
          </w:tcPr>
          <w:p w:rsidR="00B34193" w:rsidRPr="008B0F83" w:rsidRDefault="00B34193" w:rsidP="00743075">
            <w:r w:rsidRPr="008B0F83">
              <w:t>Confident</w:t>
            </w:r>
          </w:p>
        </w:tc>
        <w:tc>
          <w:tcPr>
            <w:tcW w:w="1239" w:type="dxa"/>
            <w:gridSpan w:val="4"/>
          </w:tcPr>
          <w:p w:rsidR="00B34193" w:rsidRPr="008B0F83" w:rsidRDefault="00B34193" w:rsidP="00743075">
            <w:r w:rsidRPr="008B0F83">
              <w:t xml:space="preserve">A little confident </w:t>
            </w:r>
          </w:p>
        </w:tc>
        <w:tc>
          <w:tcPr>
            <w:tcW w:w="1318" w:type="dxa"/>
            <w:gridSpan w:val="4"/>
          </w:tcPr>
          <w:p w:rsidR="00B34193" w:rsidRPr="008B0F83" w:rsidRDefault="00B34193" w:rsidP="00743075">
            <w:r w:rsidRPr="008B0F83">
              <w:t>Not confident</w:t>
            </w:r>
          </w:p>
        </w:tc>
      </w:tr>
      <w:tr w:rsidR="00B34193" w:rsidTr="00E07117">
        <w:trPr>
          <w:trHeight w:val="922"/>
        </w:trPr>
        <w:tc>
          <w:tcPr>
            <w:tcW w:w="3312" w:type="dxa"/>
            <w:vMerge/>
          </w:tcPr>
          <w:p w:rsidR="00B34193" w:rsidRPr="00EA59B1" w:rsidRDefault="00B34193" w:rsidP="0035160F">
            <w:pPr>
              <w:pStyle w:val="Default"/>
              <w:numPr>
                <w:ilvl w:val="0"/>
                <w:numId w:val="3"/>
              </w:numPr>
              <w:ind w:left="426" w:hanging="284"/>
              <w:rPr>
                <w:b/>
                <w:bCs/>
              </w:rPr>
            </w:pPr>
          </w:p>
        </w:tc>
        <w:tc>
          <w:tcPr>
            <w:tcW w:w="5693" w:type="dxa"/>
            <w:vMerge/>
          </w:tcPr>
          <w:p w:rsidR="00B34193" w:rsidRPr="0035160F" w:rsidRDefault="00B34193" w:rsidP="00F3157F">
            <w:pPr>
              <w:pStyle w:val="Default"/>
              <w:rPr>
                <w:b/>
              </w:rPr>
            </w:pPr>
          </w:p>
        </w:tc>
        <w:tc>
          <w:tcPr>
            <w:tcW w:w="5169" w:type="dxa"/>
            <w:gridSpan w:val="15"/>
          </w:tcPr>
          <w:p w:rsidR="00B34193" w:rsidRDefault="00B34193" w:rsidP="00743075">
            <w:r>
              <w:rPr>
                <w:b/>
              </w:rPr>
              <w:t xml:space="preserve">Where little or no confidence identified above, specify below which expectation/s </w:t>
            </w:r>
            <w:r w:rsidR="0035160F">
              <w:rPr>
                <w:b/>
              </w:rPr>
              <w:t>you need to work on</w:t>
            </w:r>
          </w:p>
        </w:tc>
      </w:tr>
      <w:tr w:rsidR="00B34193" w:rsidTr="00E07117">
        <w:trPr>
          <w:trHeight w:val="1792"/>
        </w:trPr>
        <w:tc>
          <w:tcPr>
            <w:tcW w:w="3312" w:type="dxa"/>
            <w:vMerge/>
          </w:tcPr>
          <w:p w:rsidR="00B34193" w:rsidRPr="00EA59B1" w:rsidRDefault="00B34193" w:rsidP="0035160F">
            <w:pPr>
              <w:pStyle w:val="Default"/>
              <w:numPr>
                <w:ilvl w:val="0"/>
                <w:numId w:val="3"/>
              </w:numPr>
              <w:ind w:left="426" w:hanging="284"/>
              <w:rPr>
                <w:b/>
                <w:bCs/>
              </w:rPr>
            </w:pPr>
          </w:p>
        </w:tc>
        <w:tc>
          <w:tcPr>
            <w:tcW w:w="5693" w:type="dxa"/>
            <w:vMerge/>
          </w:tcPr>
          <w:p w:rsidR="00B34193" w:rsidRPr="0035160F" w:rsidRDefault="00B34193" w:rsidP="00F3157F">
            <w:pPr>
              <w:pStyle w:val="Default"/>
              <w:rPr>
                <w:b/>
              </w:rPr>
            </w:pPr>
          </w:p>
        </w:tc>
        <w:tc>
          <w:tcPr>
            <w:tcW w:w="5169" w:type="dxa"/>
            <w:gridSpan w:val="15"/>
          </w:tcPr>
          <w:p w:rsidR="00B34193" w:rsidRDefault="00B34193" w:rsidP="00743075"/>
        </w:tc>
      </w:tr>
      <w:tr w:rsidR="00A40C62" w:rsidTr="00E07117">
        <w:trPr>
          <w:trHeight w:val="2205"/>
        </w:trPr>
        <w:tc>
          <w:tcPr>
            <w:tcW w:w="3312" w:type="dxa"/>
            <w:vMerge w:val="restart"/>
          </w:tcPr>
          <w:p w:rsidR="00A40C62" w:rsidRPr="00EA59B1" w:rsidRDefault="00A40C62" w:rsidP="0035160F">
            <w:pPr>
              <w:pStyle w:val="Default"/>
              <w:numPr>
                <w:ilvl w:val="0"/>
                <w:numId w:val="3"/>
              </w:numPr>
              <w:ind w:left="426" w:hanging="284"/>
              <w:rPr>
                <w:b/>
              </w:rPr>
            </w:pPr>
            <w:r w:rsidRPr="00EA59B1">
              <w:rPr>
                <w:b/>
                <w:bCs/>
              </w:rPr>
              <w:t xml:space="preserve">The ability to take all practical steps to help someone to make a decision </w:t>
            </w:r>
          </w:p>
        </w:tc>
        <w:tc>
          <w:tcPr>
            <w:tcW w:w="5693" w:type="dxa"/>
            <w:vMerge w:val="restart"/>
          </w:tcPr>
          <w:p w:rsidR="00A40C62" w:rsidRPr="0035160F" w:rsidRDefault="00A40C62" w:rsidP="0035160F">
            <w:pPr>
              <w:pStyle w:val="Default"/>
              <w:rPr>
                <w:b/>
              </w:rPr>
            </w:pPr>
            <w:r w:rsidRPr="0035160F">
              <w:rPr>
                <w:b/>
              </w:rPr>
              <w:t xml:space="preserve">3.1 An understanding of: </w:t>
            </w:r>
          </w:p>
          <w:p w:rsidR="00A40C62" w:rsidRPr="0035160F" w:rsidRDefault="00A40C62" w:rsidP="0035160F">
            <w:pPr>
              <w:pStyle w:val="Default"/>
            </w:pPr>
            <w:r w:rsidRPr="0035160F">
              <w:t xml:space="preserve">(i) The impact of mental disorder on mental capacity, including the effect of social, physical and developmental factors on a person’s ability to make decisions </w:t>
            </w:r>
          </w:p>
          <w:p w:rsidR="00A40C62" w:rsidRPr="0035160F" w:rsidRDefault="00A40C62" w:rsidP="0035160F">
            <w:pPr>
              <w:pStyle w:val="Default"/>
            </w:pPr>
            <w:r w:rsidRPr="0035160F">
              <w:lastRenderedPageBreak/>
              <w:t xml:space="preserve">(ii) The social impact of the disability or condition, how this impacts on the relevant person, the family, carers, and the decision making process </w:t>
            </w:r>
          </w:p>
          <w:p w:rsidR="00A40C62" w:rsidRPr="0035160F" w:rsidRDefault="00A40C62" w:rsidP="0035160F">
            <w:r w:rsidRPr="0035160F">
              <w:t>(iii) The role of the Independent Mental Capacity Advocate (IMCA) within the DoLS process, and the circumstances in which an IMCA should be appointed</w:t>
            </w:r>
          </w:p>
          <w:p w:rsidR="00A40C62" w:rsidRPr="0035160F" w:rsidRDefault="00A40C62" w:rsidP="0035160F">
            <w:pPr>
              <w:pStyle w:val="Default"/>
            </w:pPr>
            <w:r w:rsidRPr="0035160F">
              <w:t xml:space="preserve">(iv) A variety of forms of communication, including communication aids and tools and the impact on the relevant person of communicating at different times of the day and in different locations. </w:t>
            </w:r>
          </w:p>
        </w:tc>
        <w:tc>
          <w:tcPr>
            <w:tcW w:w="1276" w:type="dxa"/>
            <w:gridSpan w:val="4"/>
          </w:tcPr>
          <w:p w:rsidR="00A40C62" w:rsidRPr="008B0F83" w:rsidRDefault="00A40C62" w:rsidP="00F3157F">
            <w:r w:rsidRPr="008B0F83">
              <w:lastRenderedPageBreak/>
              <w:t>Very confident</w:t>
            </w:r>
          </w:p>
        </w:tc>
        <w:tc>
          <w:tcPr>
            <w:tcW w:w="1336" w:type="dxa"/>
            <w:gridSpan w:val="3"/>
          </w:tcPr>
          <w:p w:rsidR="00A40C62" w:rsidRPr="008B0F83" w:rsidRDefault="00A40C62" w:rsidP="00F3157F">
            <w:r w:rsidRPr="008B0F83">
              <w:t>Confident</w:t>
            </w:r>
          </w:p>
        </w:tc>
        <w:tc>
          <w:tcPr>
            <w:tcW w:w="1276" w:type="dxa"/>
            <w:gridSpan w:val="7"/>
          </w:tcPr>
          <w:p w:rsidR="00A40C62" w:rsidRPr="008B0F83" w:rsidRDefault="00A40C62" w:rsidP="00F3157F">
            <w:r w:rsidRPr="008B0F83">
              <w:t xml:space="preserve">A little confident </w:t>
            </w:r>
          </w:p>
        </w:tc>
        <w:tc>
          <w:tcPr>
            <w:tcW w:w="1281" w:type="dxa"/>
          </w:tcPr>
          <w:p w:rsidR="00A40C62" w:rsidRPr="008B0F83" w:rsidRDefault="00A40C62" w:rsidP="00F3157F">
            <w:r w:rsidRPr="008B0F83">
              <w:t>Not confident</w:t>
            </w:r>
          </w:p>
        </w:tc>
      </w:tr>
      <w:tr w:rsidR="00A40C62" w:rsidTr="00E07117">
        <w:trPr>
          <w:trHeight w:val="920"/>
        </w:trPr>
        <w:tc>
          <w:tcPr>
            <w:tcW w:w="3312" w:type="dxa"/>
            <w:vMerge/>
          </w:tcPr>
          <w:p w:rsidR="00A40C62" w:rsidRPr="00EA59B1" w:rsidRDefault="00A40C62" w:rsidP="0035160F">
            <w:pPr>
              <w:pStyle w:val="Default"/>
              <w:numPr>
                <w:ilvl w:val="0"/>
                <w:numId w:val="3"/>
              </w:numPr>
              <w:ind w:left="426" w:hanging="284"/>
              <w:rPr>
                <w:b/>
                <w:bCs/>
              </w:rPr>
            </w:pPr>
          </w:p>
        </w:tc>
        <w:tc>
          <w:tcPr>
            <w:tcW w:w="5693" w:type="dxa"/>
            <w:vMerge/>
          </w:tcPr>
          <w:p w:rsidR="00A40C62" w:rsidRPr="0035160F" w:rsidRDefault="00A40C62" w:rsidP="0035160F">
            <w:pPr>
              <w:pStyle w:val="Default"/>
              <w:rPr>
                <w:b/>
              </w:rPr>
            </w:pPr>
          </w:p>
        </w:tc>
        <w:tc>
          <w:tcPr>
            <w:tcW w:w="5169" w:type="dxa"/>
            <w:gridSpan w:val="15"/>
          </w:tcPr>
          <w:p w:rsidR="00A40C62" w:rsidRDefault="00A40C62" w:rsidP="00F3157F">
            <w:r>
              <w:rPr>
                <w:b/>
              </w:rPr>
              <w:t>Where little or no confidence identified above, specify below which expectation/s you need to work on</w:t>
            </w:r>
          </w:p>
        </w:tc>
      </w:tr>
      <w:tr w:rsidR="00A40C62" w:rsidTr="00E07117">
        <w:trPr>
          <w:trHeight w:val="1102"/>
        </w:trPr>
        <w:tc>
          <w:tcPr>
            <w:tcW w:w="3312" w:type="dxa"/>
            <w:vMerge/>
          </w:tcPr>
          <w:p w:rsidR="00A40C62" w:rsidRPr="00EA59B1" w:rsidRDefault="00A40C62" w:rsidP="0035160F">
            <w:pPr>
              <w:pStyle w:val="Default"/>
              <w:numPr>
                <w:ilvl w:val="0"/>
                <w:numId w:val="3"/>
              </w:numPr>
              <w:ind w:left="426" w:hanging="284"/>
              <w:rPr>
                <w:b/>
                <w:bCs/>
              </w:rPr>
            </w:pPr>
          </w:p>
        </w:tc>
        <w:tc>
          <w:tcPr>
            <w:tcW w:w="5693" w:type="dxa"/>
            <w:vMerge/>
          </w:tcPr>
          <w:p w:rsidR="00A40C62" w:rsidRPr="0035160F" w:rsidRDefault="00A40C62" w:rsidP="0035160F">
            <w:pPr>
              <w:pStyle w:val="Default"/>
              <w:rPr>
                <w:b/>
              </w:rPr>
            </w:pPr>
          </w:p>
        </w:tc>
        <w:tc>
          <w:tcPr>
            <w:tcW w:w="5169" w:type="dxa"/>
            <w:gridSpan w:val="15"/>
          </w:tcPr>
          <w:p w:rsidR="00A40C62" w:rsidRDefault="00A40C62" w:rsidP="00F3157F"/>
        </w:tc>
      </w:tr>
      <w:tr w:rsidR="00A40C62" w:rsidTr="00E07117">
        <w:trPr>
          <w:trHeight w:val="435"/>
        </w:trPr>
        <w:tc>
          <w:tcPr>
            <w:tcW w:w="3312" w:type="dxa"/>
            <w:vMerge/>
          </w:tcPr>
          <w:p w:rsidR="00A40C62" w:rsidRPr="00EA59B1" w:rsidRDefault="00A40C62" w:rsidP="0035160F">
            <w:pPr>
              <w:pStyle w:val="Default"/>
              <w:numPr>
                <w:ilvl w:val="0"/>
                <w:numId w:val="3"/>
              </w:numPr>
              <w:ind w:left="426" w:hanging="284"/>
              <w:rPr>
                <w:b/>
                <w:bCs/>
              </w:rPr>
            </w:pPr>
          </w:p>
        </w:tc>
        <w:tc>
          <w:tcPr>
            <w:tcW w:w="5693" w:type="dxa"/>
            <w:vMerge w:val="restart"/>
          </w:tcPr>
          <w:p w:rsidR="00A40C62" w:rsidRPr="0035160F" w:rsidRDefault="00A40C62" w:rsidP="0035160F">
            <w:pPr>
              <w:pStyle w:val="Default"/>
              <w:rPr>
                <w:b/>
              </w:rPr>
            </w:pPr>
            <w:r w:rsidRPr="0035160F">
              <w:rPr>
                <w:b/>
              </w:rPr>
              <w:t xml:space="preserve">3.2 The ability to: </w:t>
            </w:r>
          </w:p>
          <w:p w:rsidR="00A40C62" w:rsidRPr="0035160F" w:rsidRDefault="00A40C62" w:rsidP="0035160F">
            <w:pPr>
              <w:pStyle w:val="Default"/>
            </w:pPr>
            <w:r w:rsidRPr="0035160F">
              <w:t xml:space="preserve">(i) Communicate skilfully and confidently in the context of a DoLS assessment </w:t>
            </w:r>
          </w:p>
          <w:p w:rsidR="00A40C62" w:rsidRPr="0035160F" w:rsidRDefault="00A40C62" w:rsidP="0035160F">
            <w:pPr>
              <w:pStyle w:val="Default"/>
            </w:pPr>
            <w:r w:rsidRPr="0035160F">
              <w:t xml:space="preserve">(ii) Utilise a range of approaches to sustain engagement with people whose capacity and ability to communicate may fluctuate, or be very limited </w:t>
            </w:r>
          </w:p>
          <w:p w:rsidR="00A40C62" w:rsidRPr="0035160F" w:rsidRDefault="00A40C62" w:rsidP="0035160F">
            <w:r w:rsidRPr="0035160F">
              <w:t>(iii) Enable the person to contribute to the decision making process as far as is possible given the circumstances of the case</w:t>
            </w:r>
          </w:p>
          <w:p w:rsidR="00A40C62" w:rsidRPr="0035160F" w:rsidRDefault="00A40C62" w:rsidP="0035160F">
            <w:pPr>
              <w:pStyle w:val="Default"/>
            </w:pPr>
            <w:r w:rsidRPr="0035160F">
              <w:t xml:space="preserve">(iv) Support people through a complex assessment process within the framework of the MCA including interviewing the person, their relatives and staff and identifying and appointing the relevant person’s representative. </w:t>
            </w:r>
          </w:p>
        </w:tc>
        <w:tc>
          <w:tcPr>
            <w:tcW w:w="1292" w:type="dxa"/>
            <w:gridSpan w:val="5"/>
          </w:tcPr>
          <w:p w:rsidR="00A40C62" w:rsidRDefault="00A40C62" w:rsidP="00A40C62">
            <w:r>
              <w:t>Very confident</w:t>
            </w:r>
          </w:p>
        </w:tc>
        <w:tc>
          <w:tcPr>
            <w:tcW w:w="1292" w:type="dxa"/>
          </w:tcPr>
          <w:p w:rsidR="00A40C62" w:rsidRPr="00A40C62" w:rsidRDefault="00A40C62" w:rsidP="00A40C62">
            <w:r w:rsidRPr="00A40C62">
              <w:t>Confident</w:t>
            </w:r>
          </w:p>
        </w:tc>
        <w:tc>
          <w:tcPr>
            <w:tcW w:w="1292" w:type="dxa"/>
            <w:gridSpan w:val="7"/>
          </w:tcPr>
          <w:p w:rsidR="00A40C62" w:rsidRDefault="00A40C62" w:rsidP="00A40C62">
            <w:r>
              <w:t xml:space="preserve">A little confident </w:t>
            </w:r>
          </w:p>
        </w:tc>
        <w:tc>
          <w:tcPr>
            <w:tcW w:w="1293" w:type="dxa"/>
            <w:gridSpan w:val="2"/>
          </w:tcPr>
          <w:p w:rsidR="00A40C62" w:rsidRDefault="00A40C62" w:rsidP="00A40C62">
            <w:r>
              <w:t>Not confident</w:t>
            </w:r>
          </w:p>
        </w:tc>
      </w:tr>
      <w:tr w:rsidR="00A40C62" w:rsidTr="00E07117">
        <w:trPr>
          <w:trHeight w:val="435"/>
        </w:trPr>
        <w:tc>
          <w:tcPr>
            <w:tcW w:w="3312" w:type="dxa"/>
            <w:vMerge/>
          </w:tcPr>
          <w:p w:rsidR="00A40C62" w:rsidRPr="00EA59B1" w:rsidRDefault="00A40C62" w:rsidP="0035160F">
            <w:pPr>
              <w:pStyle w:val="Default"/>
              <w:numPr>
                <w:ilvl w:val="0"/>
                <w:numId w:val="3"/>
              </w:numPr>
              <w:ind w:left="426" w:hanging="284"/>
              <w:rPr>
                <w:b/>
                <w:bCs/>
              </w:rPr>
            </w:pPr>
          </w:p>
        </w:tc>
        <w:tc>
          <w:tcPr>
            <w:tcW w:w="5693" w:type="dxa"/>
            <w:vMerge/>
          </w:tcPr>
          <w:p w:rsidR="00A40C62" w:rsidRPr="0035160F" w:rsidRDefault="00A40C62" w:rsidP="0035160F">
            <w:pPr>
              <w:pStyle w:val="Default"/>
              <w:rPr>
                <w:b/>
              </w:rPr>
            </w:pPr>
          </w:p>
        </w:tc>
        <w:tc>
          <w:tcPr>
            <w:tcW w:w="5169" w:type="dxa"/>
            <w:gridSpan w:val="15"/>
          </w:tcPr>
          <w:p w:rsidR="00A40C62" w:rsidRDefault="00A40C62" w:rsidP="00F3157F">
            <w:pPr>
              <w:rPr>
                <w:b/>
              </w:rPr>
            </w:pPr>
            <w:r>
              <w:rPr>
                <w:b/>
              </w:rPr>
              <w:t>Where little or no confidence identified above, specify below which expectation/s you need to work on</w:t>
            </w:r>
          </w:p>
        </w:tc>
      </w:tr>
      <w:tr w:rsidR="00A40C62" w:rsidTr="00E07117">
        <w:trPr>
          <w:trHeight w:val="2250"/>
        </w:trPr>
        <w:tc>
          <w:tcPr>
            <w:tcW w:w="3312" w:type="dxa"/>
            <w:vMerge/>
          </w:tcPr>
          <w:p w:rsidR="00A40C62" w:rsidRPr="00EA59B1" w:rsidRDefault="00A40C62" w:rsidP="0035160F">
            <w:pPr>
              <w:pStyle w:val="Default"/>
              <w:numPr>
                <w:ilvl w:val="0"/>
                <w:numId w:val="3"/>
              </w:numPr>
              <w:ind w:left="426" w:hanging="284"/>
              <w:rPr>
                <w:b/>
                <w:bCs/>
              </w:rPr>
            </w:pPr>
          </w:p>
        </w:tc>
        <w:tc>
          <w:tcPr>
            <w:tcW w:w="5693" w:type="dxa"/>
            <w:vMerge/>
          </w:tcPr>
          <w:p w:rsidR="00A40C62" w:rsidRDefault="00A40C62" w:rsidP="0035160F">
            <w:pPr>
              <w:pStyle w:val="Default"/>
              <w:rPr>
                <w:sz w:val="23"/>
                <w:szCs w:val="23"/>
              </w:rPr>
            </w:pPr>
          </w:p>
        </w:tc>
        <w:tc>
          <w:tcPr>
            <w:tcW w:w="5169" w:type="dxa"/>
            <w:gridSpan w:val="15"/>
          </w:tcPr>
          <w:p w:rsidR="00A40C62" w:rsidRDefault="00A40C62" w:rsidP="00F3157F"/>
        </w:tc>
      </w:tr>
      <w:tr w:rsidR="00E07117" w:rsidTr="00E07117">
        <w:trPr>
          <w:trHeight w:val="1103"/>
        </w:trPr>
        <w:tc>
          <w:tcPr>
            <w:tcW w:w="3312" w:type="dxa"/>
            <w:vMerge w:val="restart"/>
          </w:tcPr>
          <w:p w:rsidR="00E07117" w:rsidRPr="00EA59B1" w:rsidRDefault="00E07117" w:rsidP="0035160F">
            <w:pPr>
              <w:pStyle w:val="Default"/>
              <w:numPr>
                <w:ilvl w:val="0"/>
                <w:numId w:val="3"/>
              </w:numPr>
              <w:ind w:left="426" w:hanging="284"/>
              <w:rPr>
                <w:b/>
              </w:rPr>
            </w:pPr>
            <w:r w:rsidRPr="00EA59B1">
              <w:rPr>
                <w:b/>
                <w:bCs/>
              </w:rPr>
              <w:t xml:space="preserve">The ability to balance a person’s right to autonomy and self-determination with their right to safety, and respond proportionately </w:t>
            </w:r>
          </w:p>
        </w:tc>
        <w:tc>
          <w:tcPr>
            <w:tcW w:w="5693" w:type="dxa"/>
            <w:vMerge w:val="restart"/>
          </w:tcPr>
          <w:p w:rsidR="00E07117" w:rsidRPr="00743075" w:rsidRDefault="00E07117" w:rsidP="00743075">
            <w:pPr>
              <w:pStyle w:val="Default"/>
              <w:rPr>
                <w:b/>
              </w:rPr>
            </w:pPr>
            <w:r w:rsidRPr="00743075">
              <w:rPr>
                <w:b/>
              </w:rPr>
              <w:t xml:space="preserve">4.1 An understanding of: </w:t>
            </w:r>
          </w:p>
          <w:p w:rsidR="00E07117" w:rsidRPr="00743075" w:rsidRDefault="00E07117" w:rsidP="00743075">
            <w:pPr>
              <w:pStyle w:val="Default"/>
            </w:pPr>
            <w:r w:rsidRPr="00743075">
              <w:t xml:space="preserve">(i) The MCA in relation to the impact of unwise decisions </w:t>
            </w:r>
          </w:p>
          <w:p w:rsidR="00E07117" w:rsidRPr="00743075" w:rsidRDefault="00E07117" w:rsidP="00743075">
            <w:pPr>
              <w:pStyle w:val="Default"/>
            </w:pPr>
            <w:r w:rsidRPr="00743075">
              <w:t xml:space="preserve">(ii) The links between the MCA/DoLS, the MHA and the protection of adults at risk of abuse within the wider need to recognise people’s right to autonomy </w:t>
            </w:r>
          </w:p>
          <w:p w:rsidR="00E07117" w:rsidRPr="00743075" w:rsidRDefault="00E07117" w:rsidP="00743075">
            <w:r w:rsidRPr="00743075">
              <w:lastRenderedPageBreak/>
              <w:t xml:space="preserve">(iii) The impact of coercion and power imbalances on people’s abilities to make informed decisions. </w:t>
            </w:r>
          </w:p>
        </w:tc>
        <w:tc>
          <w:tcPr>
            <w:tcW w:w="1292" w:type="dxa"/>
            <w:gridSpan w:val="5"/>
          </w:tcPr>
          <w:p w:rsidR="00E07117" w:rsidRDefault="00E07117" w:rsidP="00F3157F">
            <w:r>
              <w:lastRenderedPageBreak/>
              <w:t>Very confident</w:t>
            </w:r>
          </w:p>
        </w:tc>
        <w:tc>
          <w:tcPr>
            <w:tcW w:w="1292" w:type="dxa"/>
          </w:tcPr>
          <w:p w:rsidR="00E07117" w:rsidRDefault="00E07117" w:rsidP="00F3157F">
            <w:r>
              <w:t>Confident</w:t>
            </w:r>
          </w:p>
        </w:tc>
        <w:tc>
          <w:tcPr>
            <w:tcW w:w="1292" w:type="dxa"/>
            <w:gridSpan w:val="7"/>
          </w:tcPr>
          <w:p w:rsidR="00E07117" w:rsidRDefault="00E07117" w:rsidP="00F3157F">
            <w:r>
              <w:t xml:space="preserve">A little confident </w:t>
            </w:r>
          </w:p>
        </w:tc>
        <w:tc>
          <w:tcPr>
            <w:tcW w:w="1293" w:type="dxa"/>
            <w:gridSpan w:val="2"/>
          </w:tcPr>
          <w:p w:rsidR="00E07117" w:rsidRDefault="00E07117" w:rsidP="00F3157F">
            <w:r>
              <w:t>Not confident</w:t>
            </w:r>
          </w:p>
        </w:tc>
      </w:tr>
      <w:tr w:rsidR="00E07117" w:rsidTr="00E07117">
        <w:trPr>
          <w:trHeight w:val="548"/>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r>
              <w:rPr>
                <w:b/>
              </w:rPr>
              <w:t>Where little or no confidence identified above, specify below which expectation/s you need to work on</w:t>
            </w:r>
          </w:p>
        </w:tc>
      </w:tr>
      <w:tr w:rsidR="00E07117" w:rsidTr="00E07117">
        <w:trPr>
          <w:trHeight w:val="547"/>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tc>
      </w:tr>
      <w:tr w:rsidR="00E07117" w:rsidTr="00E07117">
        <w:trPr>
          <w:trHeight w:val="413"/>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val="restart"/>
          </w:tcPr>
          <w:p w:rsidR="00E07117" w:rsidRPr="00743075" w:rsidRDefault="00E07117" w:rsidP="00743075">
            <w:pPr>
              <w:pStyle w:val="Default"/>
              <w:rPr>
                <w:b/>
              </w:rPr>
            </w:pPr>
            <w:r w:rsidRPr="00743075">
              <w:rPr>
                <w:b/>
              </w:rPr>
              <w:t xml:space="preserve">4.2 The ability to: </w:t>
            </w:r>
          </w:p>
          <w:p w:rsidR="00E07117" w:rsidRPr="00743075" w:rsidRDefault="00E07117" w:rsidP="00743075">
            <w:pPr>
              <w:pStyle w:val="Default"/>
            </w:pPr>
            <w:r w:rsidRPr="00743075">
              <w:t xml:space="preserve">(i) Carry out work with individuals that is person centred and promotes choice and autonomy, while considering issues of risks and proportionality </w:t>
            </w:r>
          </w:p>
          <w:p w:rsidR="00E07117" w:rsidRPr="00743075" w:rsidRDefault="00E07117" w:rsidP="00743075">
            <w:pPr>
              <w:pStyle w:val="Default"/>
            </w:pPr>
            <w:r w:rsidRPr="00743075">
              <w:t xml:space="preserve">(ii) Be alert for the need for assessment under the MHA where relevant persons are ineligible for DoLS </w:t>
            </w:r>
          </w:p>
          <w:p w:rsidR="00E07117" w:rsidRPr="00743075" w:rsidRDefault="00E07117" w:rsidP="00743075">
            <w:r w:rsidRPr="00743075">
              <w:t xml:space="preserve">(iii) Make appropriate safeguarding referrals. </w:t>
            </w:r>
          </w:p>
        </w:tc>
        <w:tc>
          <w:tcPr>
            <w:tcW w:w="1292" w:type="dxa"/>
            <w:gridSpan w:val="5"/>
          </w:tcPr>
          <w:p w:rsidR="00E07117" w:rsidRDefault="00E07117" w:rsidP="00090862">
            <w:r>
              <w:t>Very confident</w:t>
            </w:r>
          </w:p>
          <w:p w:rsidR="00E07117" w:rsidRDefault="00E07117" w:rsidP="00090862"/>
        </w:tc>
        <w:tc>
          <w:tcPr>
            <w:tcW w:w="1292" w:type="dxa"/>
          </w:tcPr>
          <w:p w:rsidR="00E07117" w:rsidRDefault="00E07117" w:rsidP="00090862">
            <w:r>
              <w:t>Confident</w:t>
            </w:r>
          </w:p>
        </w:tc>
        <w:tc>
          <w:tcPr>
            <w:tcW w:w="1292" w:type="dxa"/>
            <w:gridSpan w:val="7"/>
          </w:tcPr>
          <w:p w:rsidR="00E07117" w:rsidRDefault="00E07117" w:rsidP="00090862">
            <w:r>
              <w:t xml:space="preserve">A little confident </w:t>
            </w:r>
          </w:p>
        </w:tc>
        <w:tc>
          <w:tcPr>
            <w:tcW w:w="1293" w:type="dxa"/>
            <w:gridSpan w:val="2"/>
          </w:tcPr>
          <w:p w:rsidR="00E07117" w:rsidRDefault="00E07117" w:rsidP="00090862">
            <w:r>
              <w:t>Not confident</w:t>
            </w:r>
          </w:p>
        </w:tc>
      </w:tr>
      <w:tr w:rsidR="00E07117" w:rsidTr="00E07117">
        <w:trPr>
          <w:trHeight w:val="412"/>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pPr>
              <w:rPr>
                <w:b/>
              </w:rPr>
            </w:pPr>
            <w:r>
              <w:rPr>
                <w:b/>
              </w:rPr>
              <w:t>Where little or no confidence identified above, specify below which expectation/s you need to work on</w:t>
            </w:r>
          </w:p>
        </w:tc>
      </w:tr>
      <w:tr w:rsidR="00E07117" w:rsidTr="00E07117">
        <w:trPr>
          <w:trHeight w:val="412"/>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Default="00E07117" w:rsidP="000D50D0"/>
        </w:tc>
        <w:tc>
          <w:tcPr>
            <w:tcW w:w="5169" w:type="dxa"/>
            <w:gridSpan w:val="15"/>
          </w:tcPr>
          <w:p w:rsidR="00E07117" w:rsidRDefault="00E07117" w:rsidP="00F3157F"/>
        </w:tc>
      </w:tr>
      <w:tr w:rsidR="00E07117" w:rsidTr="00E07117">
        <w:trPr>
          <w:trHeight w:val="1380"/>
        </w:trPr>
        <w:tc>
          <w:tcPr>
            <w:tcW w:w="3312" w:type="dxa"/>
            <w:vMerge w:val="restart"/>
          </w:tcPr>
          <w:p w:rsidR="00E07117" w:rsidRPr="00EA59B1" w:rsidRDefault="00E07117" w:rsidP="0035160F">
            <w:pPr>
              <w:pStyle w:val="Default"/>
              <w:numPr>
                <w:ilvl w:val="0"/>
                <w:numId w:val="3"/>
              </w:numPr>
              <w:ind w:left="426" w:hanging="284"/>
              <w:rPr>
                <w:b/>
              </w:rPr>
            </w:pPr>
            <w:r w:rsidRPr="00EA59B1">
              <w:rPr>
                <w:b/>
                <w:bCs/>
              </w:rPr>
              <w:t xml:space="preserve">The ability to make informed, independent best interest decisions within the context of a Deprivation of Liberty Safeguards (DoLS) assessment </w:t>
            </w:r>
          </w:p>
        </w:tc>
        <w:tc>
          <w:tcPr>
            <w:tcW w:w="5693" w:type="dxa"/>
            <w:vMerge w:val="restart"/>
          </w:tcPr>
          <w:p w:rsidR="00E07117" w:rsidRPr="00743075" w:rsidRDefault="00E07117" w:rsidP="00743075">
            <w:pPr>
              <w:pStyle w:val="Default"/>
              <w:rPr>
                <w:b/>
              </w:rPr>
            </w:pPr>
            <w:r w:rsidRPr="00743075">
              <w:rPr>
                <w:b/>
              </w:rPr>
              <w:t xml:space="preserve">5.1 An understanding of: </w:t>
            </w:r>
          </w:p>
          <w:p w:rsidR="00E07117" w:rsidRPr="00743075" w:rsidRDefault="00E07117" w:rsidP="00743075">
            <w:pPr>
              <w:pStyle w:val="Default"/>
            </w:pPr>
            <w:r w:rsidRPr="00743075">
              <w:t xml:space="preserve">(i) What constitutes ‘best interests’, as set out within the MCA, codes of practice and case law </w:t>
            </w:r>
          </w:p>
          <w:p w:rsidR="00E07117" w:rsidRPr="00743075" w:rsidRDefault="00E07117" w:rsidP="00743075">
            <w:pPr>
              <w:pStyle w:val="Default"/>
            </w:pPr>
            <w:r w:rsidRPr="00743075">
              <w:t xml:space="preserve">(ii) The DoLS assessment process including the role of the Mental Health Assessor and IMCA </w:t>
            </w:r>
          </w:p>
          <w:p w:rsidR="00E07117" w:rsidRPr="00743075" w:rsidRDefault="00E07117" w:rsidP="00743075">
            <w:pPr>
              <w:pStyle w:val="Default"/>
            </w:pPr>
            <w:r w:rsidRPr="00743075">
              <w:t xml:space="preserve">(iii) The implications of a range of treatments and interventions applicable to the relevant person’s situation </w:t>
            </w:r>
          </w:p>
          <w:p w:rsidR="00E07117" w:rsidRPr="00743075" w:rsidRDefault="00E07117" w:rsidP="00743075">
            <w:r w:rsidRPr="00743075">
              <w:t xml:space="preserve">(iv) The recommendations a BIA can make in relation to deprivation of liberty. </w:t>
            </w:r>
          </w:p>
        </w:tc>
        <w:tc>
          <w:tcPr>
            <w:tcW w:w="1292" w:type="dxa"/>
            <w:gridSpan w:val="5"/>
          </w:tcPr>
          <w:p w:rsidR="00E07117" w:rsidRDefault="00E07117" w:rsidP="00F3157F">
            <w:r>
              <w:t>Very confident</w:t>
            </w:r>
          </w:p>
        </w:tc>
        <w:tc>
          <w:tcPr>
            <w:tcW w:w="1292" w:type="dxa"/>
          </w:tcPr>
          <w:p w:rsidR="00E07117" w:rsidRDefault="00E07117" w:rsidP="00F3157F">
            <w:r>
              <w:t>Confident</w:t>
            </w:r>
          </w:p>
        </w:tc>
        <w:tc>
          <w:tcPr>
            <w:tcW w:w="1292" w:type="dxa"/>
            <w:gridSpan w:val="7"/>
          </w:tcPr>
          <w:p w:rsidR="00E07117" w:rsidRDefault="00E07117" w:rsidP="00F3157F">
            <w:r>
              <w:t xml:space="preserve">A little confident </w:t>
            </w:r>
          </w:p>
        </w:tc>
        <w:tc>
          <w:tcPr>
            <w:tcW w:w="1293" w:type="dxa"/>
            <w:gridSpan w:val="2"/>
          </w:tcPr>
          <w:p w:rsidR="00E07117" w:rsidRDefault="00E07117" w:rsidP="00F3157F">
            <w:r>
              <w:t>Not confident</w:t>
            </w:r>
          </w:p>
        </w:tc>
      </w:tr>
      <w:tr w:rsidR="00E07117" w:rsidTr="00E07117">
        <w:trPr>
          <w:trHeight w:val="690"/>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r>
              <w:rPr>
                <w:b/>
              </w:rPr>
              <w:t>Where little or no confidence identified above, specify below which expectation/s you need to work on</w:t>
            </w:r>
          </w:p>
        </w:tc>
      </w:tr>
      <w:tr w:rsidR="00E07117" w:rsidTr="00E07117">
        <w:trPr>
          <w:trHeight w:val="690"/>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tc>
      </w:tr>
      <w:tr w:rsidR="00E07117" w:rsidTr="00EF6C97">
        <w:trPr>
          <w:trHeight w:val="413"/>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val="restart"/>
          </w:tcPr>
          <w:p w:rsidR="00E07117" w:rsidRPr="00743075" w:rsidRDefault="00E07117" w:rsidP="00743075">
            <w:pPr>
              <w:pStyle w:val="Default"/>
              <w:rPr>
                <w:b/>
              </w:rPr>
            </w:pPr>
            <w:r w:rsidRPr="00743075">
              <w:rPr>
                <w:b/>
              </w:rPr>
              <w:t xml:space="preserve">5.2 The ability to: </w:t>
            </w:r>
          </w:p>
          <w:p w:rsidR="00E07117" w:rsidRPr="00743075" w:rsidRDefault="00E07117" w:rsidP="00743075">
            <w:pPr>
              <w:pStyle w:val="Default"/>
            </w:pPr>
            <w:r w:rsidRPr="00743075">
              <w:t xml:space="preserve">(i) Articulate the DoLS process and the BIA’s role within the assessment process </w:t>
            </w:r>
          </w:p>
          <w:p w:rsidR="00E07117" w:rsidRPr="00743075" w:rsidRDefault="00E07117" w:rsidP="00743075">
            <w:pPr>
              <w:pStyle w:val="Default"/>
            </w:pPr>
            <w:r w:rsidRPr="00743075">
              <w:t xml:space="preserve">(ii) Determine whether: </w:t>
            </w:r>
          </w:p>
          <w:p w:rsidR="00E07117" w:rsidRPr="00743075" w:rsidRDefault="00E07117" w:rsidP="00743075">
            <w:pPr>
              <w:pStyle w:val="Default"/>
            </w:pPr>
            <w:r w:rsidRPr="00743075">
              <w:t xml:space="preserve">(a) a deprivation of liberty is occurring </w:t>
            </w:r>
          </w:p>
          <w:p w:rsidR="00E07117" w:rsidRPr="00743075" w:rsidRDefault="00E07117" w:rsidP="00743075">
            <w:pPr>
              <w:pStyle w:val="Default"/>
            </w:pPr>
            <w:r w:rsidRPr="00743075">
              <w:t xml:space="preserve">(b) the deprivation is in the person’s best interests using the section 4 checklist </w:t>
            </w:r>
          </w:p>
          <w:p w:rsidR="00E07117" w:rsidRPr="00743075" w:rsidRDefault="00E07117" w:rsidP="00743075">
            <w:pPr>
              <w:pStyle w:val="Default"/>
            </w:pPr>
            <w:r w:rsidRPr="00743075">
              <w:t xml:space="preserve">(c) the person meets the requirements for age, no refusals, mental capacity and eligibility if appropriate </w:t>
            </w:r>
          </w:p>
          <w:p w:rsidR="00E07117" w:rsidRPr="00743075" w:rsidRDefault="00E07117" w:rsidP="00743075">
            <w:pPr>
              <w:pStyle w:val="Default"/>
            </w:pPr>
            <w:r w:rsidRPr="00743075">
              <w:t xml:space="preserve">(iii) Make appropriate recommendations on: </w:t>
            </w:r>
          </w:p>
          <w:p w:rsidR="00E07117" w:rsidRPr="00743075" w:rsidRDefault="00E07117" w:rsidP="00743075">
            <w:r w:rsidRPr="00743075">
              <w:lastRenderedPageBreak/>
              <w:t>(a) conditions attached to the authorisation, and (b) duration of the authorisation</w:t>
            </w:r>
          </w:p>
          <w:p w:rsidR="00E07117" w:rsidRPr="00743075" w:rsidRDefault="00E07117" w:rsidP="00743075">
            <w:pPr>
              <w:pStyle w:val="Default"/>
            </w:pPr>
            <w:r w:rsidRPr="00743075">
              <w:t xml:space="preserve">(iv) Formally record assessments to a high professional standard likely to withstand legal scrutiny, demonstrating the ability to analyse and evaluate complex information; to provide evidence for decision making including the rationale for the timescale recommended for any deprivation of liberty </w:t>
            </w:r>
          </w:p>
          <w:p w:rsidR="00E07117" w:rsidRPr="00743075" w:rsidRDefault="00E07117" w:rsidP="00743075">
            <w:r w:rsidRPr="00743075">
              <w:t xml:space="preserve">(v) Consult the Mental Health Assessor, and IMCA if appointed, and document and examine their views in the written decision making process. </w:t>
            </w:r>
          </w:p>
        </w:tc>
        <w:tc>
          <w:tcPr>
            <w:tcW w:w="1292" w:type="dxa"/>
            <w:gridSpan w:val="5"/>
          </w:tcPr>
          <w:p w:rsidR="00E07117" w:rsidRDefault="00E07117" w:rsidP="00090862">
            <w:r>
              <w:lastRenderedPageBreak/>
              <w:t>Very confident</w:t>
            </w:r>
          </w:p>
          <w:p w:rsidR="00E07117" w:rsidRDefault="00E07117" w:rsidP="00090862"/>
        </w:tc>
        <w:tc>
          <w:tcPr>
            <w:tcW w:w="1292" w:type="dxa"/>
          </w:tcPr>
          <w:p w:rsidR="00E07117" w:rsidRDefault="00E07117" w:rsidP="00090862">
            <w:r>
              <w:t>Confident</w:t>
            </w:r>
          </w:p>
        </w:tc>
        <w:tc>
          <w:tcPr>
            <w:tcW w:w="1292" w:type="dxa"/>
            <w:gridSpan w:val="7"/>
          </w:tcPr>
          <w:p w:rsidR="00E07117" w:rsidRDefault="00E07117" w:rsidP="00090862">
            <w:r>
              <w:t xml:space="preserve">A little confident </w:t>
            </w:r>
          </w:p>
        </w:tc>
        <w:tc>
          <w:tcPr>
            <w:tcW w:w="1293" w:type="dxa"/>
            <w:gridSpan w:val="2"/>
          </w:tcPr>
          <w:p w:rsidR="00E07117" w:rsidRDefault="00E07117" w:rsidP="00090862">
            <w:r>
              <w:t>Not confident</w:t>
            </w:r>
          </w:p>
        </w:tc>
      </w:tr>
      <w:tr w:rsidR="00E07117" w:rsidTr="00E07117">
        <w:trPr>
          <w:trHeight w:val="412"/>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743075" w:rsidRDefault="00E07117" w:rsidP="00743075">
            <w:pPr>
              <w:pStyle w:val="Default"/>
              <w:rPr>
                <w:b/>
              </w:rPr>
            </w:pPr>
          </w:p>
        </w:tc>
        <w:tc>
          <w:tcPr>
            <w:tcW w:w="5169" w:type="dxa"/>
            <w:gridSpan w:val="15"/>
          </w:tcPr>
          <w:p w:rsidR="00E07117" w:rsidRDefault="00E07117" w:rsidP="00F3157F">
            <w:pPr>
              <w:rPr>
                <w:b/>
              </w:rPr>
            </w:pPr>
            <w:r>
              <w:rPr>
                <w:b/>
              </w:rPr>
              <w:t>Where little or no confidence identified above, specify below which expectation/s you need to work on</w:t>
            </w:r>
          </w:p>
        </w:tc>
      </w:tr>
      <w:tr w:rsidR="00E07117" w:rsidTr="00E07117">
        <w:trPr>
          <w:trHeight w:val="412"/>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Default="00E07117" w:rsidP="000D50D0"/>
        </w:tc>
        <w:tc>
          <w:tcPr>
            <w:tcW w:w="5169" w:type="dxa"/>
            <w:gridSpan w:val="15"/>
          </w:tcPr>
          <w:p w:rsidR="00E07117" w:rsidRDefault="00E07117" w:rsidP="00F3157F"/>
        </w:tc>
      </w:tr>
      <w:tr w:rsidR="00E07117" w:rsidTr="00771DA0">
        <w:trPr>
          <w:trHeight w:val="690"/>
        </w:trPr>
        <w:tc>
          <w:tcPr>
            <w:tcW w:w="3312" w:type="dxa"/>
            <w:vMerge w:val="restart"/>
          </w:tcPr>
          <w:p w:rsidR="00E07117" w:rsidRPr="00EA59B1" w:rsidRDefault="00E07117" w:rsidP="0035160F">
            <w:pPr>
              <w:pStyle w:val="Default"/>
              <w:numPr>
                <w:ilvl w:val="0"/>
                <w:numId w:val="3"/>
              </w:numPr>
              <w:ind w:left="426" w:hanging="284"/>
              <w:rPr>
                <w:b/>
              </w:rPr>
            </w:pPr>
            <w:r w:rsidRPr="00EA59B1">
              <w:rPr>
                <w:b/>
                <w:bCs/>
              </w:rPr>
              <w:t xml:space="preserve">The ability to effectively assess risk in complex situations, and use analysis to make proportionate decisions </w:t>
            </w:r>
          </w:p>
        </w:tc>
        <w:tc>
          <w:tcPr>
            <w:tcW w:w="5693" w:type="dxa"/>
            <w:vMerge w:val="restart"/>
          </w:tcPr>
          <w:p w:rsidR="00E07117" w:rsidRPr="00340425" w:rsidRDefault="00E07117" w:rsidP="00340425">
            <w:pPr>
              <w:pStyle w:val="Default"/>
              <w:rPr>
                <w:b/>
              </w:rPr>
            </w:pPr>
            <w:r w:rsidRPr="00340425">
              <w:rPr>
                <w:b/>
              </w:rPr>
              <w:t xml:space="preserve">6.1 An understanding of: </w:t>
            </w:r>
          </w:p>
          <w:p w:rsidR="00E07117" w:rsidRPr="00340425" w:rsidRDefault="00E07117" w:rsidP="00340425">
            <w:pPr>
              <w:pStyle w:val="Default"/>
            </w:pPr>
            <w:r w:rsidRPr="00340425">
              <w:t xml:space="preserve">(i) Risk, how to assess risk, likelihood and seriousness of risk, proportionate responses to managing risk </w:t>
            </w:r>
          </w:p>
          <w:p w:rsidR="00E07117" w:rsidRPr="00340425" w:rsidRDefault="00E07117" w:rsidP="00340425">
            <w:r w:rsidRPr="00340425">
              <w:t xml:space="preserve">(ii) The benefits of positive risk taking. </w:t>
            </w:r>
          </w:p>
        </w:tc>
        <w:tc>
          <w:tcPr>
            <w:tcW w:w="1292" w:type="dxa"/>
            <w:gridSpan w:val="5"/>
          </w:tcPr>
          <w:p w:rsidR="00E07117" w:rsidRDefault="00E07117" w:rsidP="00F3157F">
            <w:r>
              <w:t>Very confident</w:t>
            </w:r>
          </w:p>
        </w:tc>
        <w:tc>
          <w:tcPr>
            <w:tcW w:w="1292" w:type="dxa"/>
          </w:tcPr>
          <w:p w:rsidR="00E07117" w:rsidRDefault="00E07117" w:rsidP="00F3157F">
            <w:r>
              <w:t>Confident</w:t>
            </w:r>
          </w:p>
        </w:tc>
        <w:tc>
          <w:tcPr>
            <w:tcW w:w="1292" w:type="dxa"/>
            <w:gridSpan w:val="7"/>
          </w:tcPr>
          <w:p w:rsidR="00E07117" w:rsidRDefault="00E07117" w:rsidP="00F3157F">
            <w:r>
              <w:t xml:space="preserve">A little confident </w:t>
            </w:r>
          </w:p>
        </w:tc>
        <w:tc>
          <w:tcPr>
            <w:tcW w:w="1293" w:type="dxa"/>
            <w:gridSpan w:val="2"/>
          </w:tcPr>
          <w:p w:rsidR="00E07117" w:rsidRDefault="00E07117" w:rsidP="00F3157F">
            <w:r>
              <w:t>Not confident</w:t>
            </w:r>
          </w:p>
        </w:tc>
      </w:tr>
      <w:tr w:rsidR="00E07117" w:rsidTr="00E07117">
        <w:trPr>
          <w:trHeight w:val="345"/>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340425" w:rsidRDefault="00E07117" w:rsidP="00340425">
            <w:pPr>
              <w:pStyle w:val="Default"/>
              <w:rPr>
                <w:b/>
              </w:rPr>
            </w:pPr>
          </w:p>
        </w:tc>
        <w:tc>
          <w:tcPr>
            <w:tcW w:w="5169" w:type="dxa"/>
            <w:gridSpan w:val="15"/>
          </w:tcPr>
          <w:p w:rsidR="00E07117" w:rsidRDefault="00E07117" w:rsidP="00F3157F">
            <w:r>
              <w:rPr>
                <w:b/>
              </w:rPr>
              <w:t>Where little or no confidence identified above, specify below which expectation/s you need to work on</w:t>
            </w:r>
          </w:p>
        </w:tc>
      </w:tr>
      <w:tr w:rsidR="00E07117" w:rsidTr="00360F63">
        <w:trPr>
          <w:trHeight w:val="345"/>
        </w:trPr>
        <w:tc>
          <w:tcPr>
            <w:tcW w:w="3312" w:type="dxa"/>
            <w:vMerge/>
          </w:tcPr>
          <w:p w:rsidR="00E07117" w:rsidRPr="00EA59B1" w:rsidRDefault="00E07117" w:rsidP="0035160F">
            <w:pPr>
              <w:pStyle w:val="Default"/>
              <w:numPr>
                <w:ilvl w:val="0"/>
                <w:numId w:val="3"/>
              </w:numPr>
              <w:ind w:left="426" w:hanging="284"/>
              <w:rPr>
                <w:b/>
                <w:bCs/>
              </w:rPr>
            </w:pPr>
          </w:p>
        </w:tc>
        <w:tc>
          <w:tcPr>
            <w:tcW w:w="5693" w:type="dxa"/>
            <w:vMerge/>
          </w:tcPr>
          <w:p w:rsidR="00E07117" w:rsidRPr="00340425" w:rsidRDefault="00E07117" w:rsidP="00340425">
            <w:pPr>
              <w:pStyle w:val="Default"/>
              <w:rPr>
                <w:b/>
              </w:rPr>
            </w:pPr>
          </w:p>
        </w:tc>
        <w:tc>
          <w:tcPr>
            <w:tcW w:w="5169" w:type="dxa"/>
            <w:gridSpan w:val="15"/>
          </w:tcPr>
          <w:p w:rsidR="00E07117" w:rsidRDefault="00E07117" w:rsidP="00F3157F"/>
        </w:tc>
      </w:tr>
      <w:tr w:rsidR="00E07117" w:rsidTr="00277F0B">
        <w:trPr>
          <w:trHeight w:val="413"/>
        </w:trPr>
        <w:tc>
          <w:tcPr>
            <w:tcW w:w="3312" w:type="dxa"/>
            <w:vMerge/>
          </w:tcPr>
          <w:p w:rsidR="00E07117" w:rsidRPr="00EA59B1" w:rsidRDefault="00E07117" w:rsidP="000D50D0">
            <w:pPr>
              <w:pStyle w:val="Default"/>
              <w:numPr>
                <w:ilvl w:val="0"/>
                <w:numId w:val="3"/>
              </w:numPr>
              <w:ind w:left="426" w:hanging="284"/>
              <w:rPr>
                <w:b/>
                <w:bCs/>
              </w:rPr>
            </w:pPr>
          </w:p>
        </w:tc>
        <w:tc>
          <w:tcPr>
            <w:tcW w:w="5693" w:type="dxa"/>
            <w:vMerge w:val="restart"/>
          </w:tcPr>
          <w:p w:rsidR="00E07117" w:rsidRPr="00340425" w:rsidRDefault="00E07117" w:rsidP="00340425">
            <w:pPr>
              <w:pStyle w:val="Default"/>
              <w:rPr>
                <w:b/>
              </w:rPr>
            </w:pPr>
            <w:r w:rsidRPr="00340425">
              <w:rPr>
                <w:b/>
              </w:rPr>
              <w:t xml:space="preserve">6.2 An ability to: </w:t>
            </w:r>
          </w:p>
          <w:p w:rsidR="00E07117" w:rsidRPr="00340425" w:rsidRDefault="00E07117" w:rsidP="00340425">
            <w:pPr>
              <w:pStyle w:val="Default"/>
            </w:pPr>
            <w:r w:rsidRPr="00340425">
              <w:t xml:space="preserve">(i) Weigh up the pros and cons of the different options in the light of best interests and risk assessment </w:t>
            </w:r>
          </w:p>
          <w:p w:rsidR="00E07117" w:rsidRPr="00340425" w:rsidRDefault="00E07117" w:rsidP="00340425">
            <w:pPr>
              <w:pStyle w:val="Default"/>
            </w:pPr>
            <w:r w:rsidRPr="00340425">
              <w:t xml:space="preserve">(ii) Identify risk, and consider its management in a less restrictive manner (if possible) to arrive at a proportionate outcome </w:t>
            </w:r>
          </w:p>
          <w:p w:rsidR="00E07117" w:rsidRPr="00340425" w:rsidRDefault="00E07117" w:rsidP="00340425">
            <w:r w:rsidRPr="00340425">
              <w:t xml:space="preserve">(iii) Evidence in their report an analysis of risk </w:t>
            </w:r>
          </w:p>
          <w:p w:rsidR="00E07117" w:rsidRPr="00340425" w:rsidRDefault="00E07117" w:rsidP="00340425">
            <w:pPr>
              <w:pStyle w:val="Default"/>
            </w:pPr>
            <w:r w:rsidRPr="00340425">
              <w:t xml:space="preserve">including proportionality and the actual likelihood of harm </w:t>
            </w:r>
          </w:p>
          <w:p w:rsidR="00E07117" w:rsidRPr="00340425" w:rsidRDefault="00E07117" w:rsidP="00340425">
            <w:pPr>
              <w:pStyle w:val="Default"/>
            </w:pPr>
            <w:r w:rsidRPr="00340425">
              <w:t xml:space="preserve">(iv) Take action when an application to the Court of Protection is needed </w:t>
            </w:r>
          </w:p>
          <w:p w:rsidR="00E07117" w:rsidRPr="00340425" w:rsidRDefault="00E07117" w:rsidP="00340425">
            <w:r w:rsidRPr="00340425">
              <w:t xml:space="preserve">(v) Challenge risk averse practice. </w:t>
            </w:r>
          </w:p>
        </w:tc>
        <w:tc>
          <w:tcPr>
            <w:tcW w:w="1292" w:type="dxa"/>
            <w:gridSpan w:val="5"/>
          </w:tcPr>
          <w:p w:rsidR="00E07117" w:rsidRDefault="00E07117" w:rsidP="00090862">
            <w:r>
              <w:t>Very confident</w:t>
            </w:r>
          </w:p>
          <w:p w:rsidR="00E07117" w:rsidRDefault="00E07117" w:rsidP="00090862"/>
          <w:p w:rsidR="00E07117" w:rsidRDefault="00E07117" w:rsidP="00090862"/>
        </w:tc>
        <w:tc>
          <w:tcPr>
            <w:tcW w:w="1292" w:type="dxa"/>
          </w:tcPr>
          <w:p w:rsidR="00E07117" w:rsidRDefault="00E07117" w:rsidP="00090862">
            <w:r>
              <w:t>Confident</w:t>
            </w:r>
          </w:p>
        </w:tc>
        <w:tc>
          <w:tcPr>
            <w:tcW w:w="1292" w:type="dxa"/>
            <w:gridSpan w:val="7"/>
          </w:tcPr>
          <w:p w:rsidR="00E07117" w:rsidRDefault="00E07117" w:rsidP="00090862">
            <w:r>
              <w:t xml:space="preserve">A little confident </w:t>
            </w:r>
          </w:p>
        </w:tc>
        <w:tc>
          <w:tcPr>
            <w:tcW w:w="1293" w:type="dxa"/>
            <w:gridSpan w:val="2"/>
          </w:tcPr>
          <w:p w:rsidR="00E07117" w:rsidRDefault="00E07117" w:rsidP="00090862">
            <w:r>
              <w:t>Not confident</w:t>
            </w:r>
          </w:p>
        </w:tc>
      </w:tr>
      <w:tr w:rsidR="00E07117" w:rsidTr="00E07117">
        <w:trPr>
          <w:trHeight w:val="412"/>
        </w:trPr>
        <w:tc>
          <w:tcPr>
            <w:tcW w:w="3312" w:type="dxa"/>
            <w:vMerge/>
          </w:tcPr>
          <w:p w:rsidR="00E07117" w:rsidRPr="00EA59B1" w:rsidRDefault="00E07117" w:rsidP="000D50D0">
            <w:pPr>
              <w:pStyle w:val="Default"/>
              <w:numPr>
                <w:ilvl w:val="0"/>
                <w:numId w:val="3"/>
              </w:numPr>
              <w:ind w:left="426" w:hanging="284"/>
              <w:rPr>
                <w:b/>
                <w:bCs/>
              </w:rPr>
            </w:pPr>
          </w:p>
        </w:tc>
        <w:tc>
          <w:tcPr>
            <w:tcW w:w="5693" w:type="dxa"/>
            <w:vMerge/>
          </w:tcPr>
          <w:p w:rsidR="00E07117" w:rsidRPr="00340425" w:rsidRDefault="00E07117" w:rsidP="00340425">
            <w:pPr>
              <w:pStyle w:val="Default"/>
              <w:rPr>
                <w:b/>
              </w:rPr>
            </w:pPr>
          </w:p>
        </w:tc>
        <w:tc>
          <w:tcPr>
            <w:tcW w:w="5169" w:type="dxa"/>
            <w:gridSpan w:val="15"/>
          </w:tcPr>
          <w:p w:rsidR="00E07117" w:rsidRDefault="00E07117" w:rsidP="00F3157F">
            <w:pPr>
              <w:rPr>
                <w:b/>
              </w:rPr>
            </w:pPr>
            <w:r>
              <w:rPr>
                <w:b/>
              </w:rPr>
              <w:t>Where little or no confidence identified above, specify below which expectation/s you need to work on</w:t>
            </w:r>
          </w:p>
        </w:tc>
      </w:tr>
      <w:tr w:rsidR="00E07117" w:rsidTr="00E07117">
        <w:trPr>
          <w:trHeight w:val="270"/>
        </w:trPr>
        <w:tc>
          <w:tcPr>
            <w:tcW w:w="3312" w:type="dxa"/>
            <w:vMerge/>
          </w:tcPr>
          <w:p w:rsidR="00E07117" w:rsidRPr="00EA59B1" w:rsidRDefault="00E07117" w:rsidP="000D50D0">
            <w:pPr>
              <w:pStyle w:val="Default"/>
              <w:numPr>
                <w:ilvl w:val="0"/>
                <w:numId w:val="3"/>
              </w:numPr>
              <w:ind w:left="426" w:hanging="284"/>
              <w:rPr>
                <w:b/>
                <w:bCs/>
              </w:rPr>
            </w:pPr>
          </w:p>
        </w:tc>
        <w:tc>
          <w:tcPr>
            <w:tcW w:w="5693" w:type="dxa"/>
            <w:vMerge/>
          </w:tcPr>
          <w:p w:rsidR="00E07117" w:rsidRDefault="00E07117" w:rsidP="000D50D0"/>
        </w:tc>
        <w:tc>
          <w:tcPr>
            <w:tcW w:w="5169" w:type="dxa"/>
            <w:gridSpan w:val="15"/>
          </w:tcPr>
          <w:p w:rsidR="00E07117" w:rsidRDefault="00E07117" w:rsidP="00F3157F"/>
        </w:tc>
      </w:tr>
    </w:tbl>
    <w:p w:rsidR="000C3952" w:rsidRDefault="000C3952"/>
    <w:tbl>
      <w:tblPr>
        <w:tblStyle w:val="TableGrid"/>
        <w:tblW w:w="0" w:type="auto"/>
        <w:tblLook w:val="04A0" w:firstRow="1" w:lastRow="0" w:firstColumn="1" w:lastColumn="0" w:noHBand="0" w:noVBand="1"/>
      </w:tblPr>
      <w:tblGrid>
        <w:gridCol w:w="3325"/>
        <w:gridCol w:w="5752"/>
        <w:gridCol w:w="4871"/>
      </w:tblGrid>
      <w:tr w:rsidR="0035160F" w:rsidTr="00743075">
        <w:trPr>
          <w:trHeight w:val="270"/>
        </w:trPr>
        <w:tc>
          <w:tcPr>
            <w:tcW w:w="14174" w:type="dxa"/>
            <w:gridSpan w:val="3"/>
          </w:tcPr>
          <w:p w:rsidR="0035160F" w:rsidRPr="00340425" w:rsidRDefault="0035160F" w:rsidP="0035160F">
            <w:pPr>
              <w:jc w:val="center"/>
              <w:rPr>
                <w:b/>
                <w:sz w:val="28"/>
                <w:szCs w:val="28"/>
              </w:rPr>
            </w:pPr>
            <w:r w:rsidRPr="00340425">
              <w:rPr>
                <w:b/>
                <w:sz w:val="28"/>
                <w:szCs w:val="28"/>
              </w:rPr>
              <w:t>Capabilities action plan</w:t>
            </w:r>
          </w:p>
        </w:tc>
      </w:tr>
      <w:tr w:rsidR="0035160F" w:rsidTr="000C3952">
        <w:trPr>
          <w:trHeight w:val="270"/>
        </w:trPr>
        <w:tc>
          <w:tcPr>
            <w:tcW w:w="3369" w:type="dxa"/>
          </w:tcPr>
          <w:p w:rsidR="000C3952" w:rsidRDefault="00340425" w:rsidP="0035160F">
            <w:pPr>
              <w:rPr>
                <w:b/>
              </w:rPr>
            </w:pPr>
            <w:r>
              <w:rPr>
                <w:b/>
              </w:rPr>
              <w:t>Capability needing addressing</w:t>
            </w:r>
            <w:r w:rsidR="000C3952">
              <w:rPr>
                <w:b/>
              </w:rPr>
              <w:t xml:space="preserve"> </w:t>
            </w:r>
          </w:p>
          <w:p w:rsidR="0035160F" w:rsidRPr="000C3952" w:rsidRDefault="000C3952" w:rsidP="0035160F">
            <w:pPr>
              <w:rPr>
                <w:i/>
                <w:sz w:val="20"/>
                <w:szCs w:val="20"/>
              </w:rPr>
            </w:pPr>
            <w:r w:rsidRPr="000C3952">
              <w:rPr>
                <w:i/>
                <w:sz w:val="20"/>
                <w:szCs w:val="20"/>
              </w:rPr>
              <w:t>From end column above</w:t>
            </w:r>
          </w:p>
        </w:tc>
        <w:tc>
          <w:tcPr>
            <w:tcW w:w="5859" w:type="dxa"/>
          </w:tcPr>
          <w:p w:rsidR="000C3952" w:rsidRDefault="00340425" w:rsidP="0035160F">
            <w:pPr>
              <w:rPr>
                <w:b/>
              </w:rPr>
            </w:pPr>
            <w:r>
              <w:rPr>
                <w:b/>
              </w:rPr>
              <w:t>Plan to address capability</w:t>
            </w:r>
          </w:p>
          <w:p w:rsidR="0035160F" w:rsidRPr="000C3952" w:rsidRDefault="000C3952" w:rsidP="0035160F">
            <w:pPr>
              <w:rPr>
                <w:i/>
                <w:sz w:val="20"/>
                <w:szCs w:val="20"/>
              </w:rPr>
            </w:pPr>
            <w:r w:rsidRPr="000C3952">
              <w:rPr>
                <w:i/>
                <w:sz w:val="20"/>
                <w:szCs w:val="20"/>
              </w:rPr>
              <w:t>I</w:t>
            </w:r>
            <w:r w:rsidR="00340425" w:rsidRPr="000C3952">
              <w:rPr>
                <w:i/>
                <w:sz w:val="20"/>
                <w:szCs w:val="20"/>
              </w:rPr>
              <w:t>ncluding further training, shadowing, support from peers or Deprivation of Liberty Safeguards lead etc.</w:t>
            </w:r>
          </w:p>
        </w:tc>
        <w:tc>
          <w:tcPr>
            <w:tcW w:w="4946" w:type="dxa"/>
          </w:tcPr>
          <w:p w:rsidR="0035160F" w:rsidRPr="00340425" w:rsidRDefault="00340425" w:rsidP="0035160F">
            <w:pPr>
              <w:rPr>
                <w:b/>
              </w:rPr>
            </w:pPr>
            <w:r>
              <w:rPr>
                <w:b/>
              </w:rPr>
              <w:t>Timescale, including review date</w:t>
            </w:r>
            <w:r w:rsidR="000C3952">
              <w:rPr>
                <w:b/>
              </w:rPr>
              <w:t>/s,</w:t>
            </w:r>
            <w:r>
              <w:rPr>
                <w:b/>
              </w:rPr>
              <w:t xml:space="preserve"> and responsibility for action</w:t>
            </w:r>
          </w:p>
        </w:tc>
      </w:tr>
      <w:tr w:rsidR="00340425" w:rsidTr="000C3952">
        <w:trPr>
          <w:trHeight w:val="270"/>
        </w:trPr>
        <w:tc>
          <w:tcPr>
            <w:tcW w:w="3369" w:type="dxa"/>
          </w:tcPr>
          <w:p w:rsidR="00340425" w:rsidRDefault="00340425" w:rsidP="0035160F"/>
          <w:p w:rsidR="000C3952" w:rsidRDefault="000C3952" w:rsidP="0035160F"/>
          <w:p w:rsidR="000C3952" w:rsidRPr="0035160F" w:rsidRDefault="000C3952" w:rsidP="0035160F"/>
        </w:tc>
        <w:tc>
          <w:tcPr>
            <w:tcW w:w="5859" w:type="dxa"/>
          </w:tcPr>
          <w:p w:rsidR="00340425" w:rsidRPr="0035160F" w:rsidRDefault="00340425" w:rsidP="0035160F"/>
        </w:tc>
        <w:tc>
          <w:tcPr>
            <w:tcW w:w="4946" w:type="dxa"/>
          </w:tcPr>
          <w:p w:rsidR="00340425" w:rsidRPr="0035160F" w:rsidRDefault="00340425" w:rsidP="0035160F"/>
        </w:tc>
      </w:tr>
      <w:tr w:rsidR="00340425" w:rsidTr="000C3952">
        <w:trPr>
          <w:trHeight w:val="270"/>
        </w:trPr>
        <w:tc>
          <w:tcPr>
            <w:tcW w:w="3369" w:type="dxa"/>
          </w:tcPr>
          <w:p w:rsidR="00340425" w:rsidRDefault="00340425" w:rsidP="0035160F"/>
          <w:p w:rsidR="000C3952" w:rsidRDefault="000C3952" w:rsidP="0035160F"/>
          <w:p w:rsidR="000C3952" w:rsidRPr="0035160F" w:rsidRDefault="000C3952" w:rsidP="0035160F"/>
        </w:tc>
        <w:tc>
          <w:tcPr>
            <w:tcW w:w="5859" w:type="dxa"/>
          </w:tcPr>
          <w:p w:rsidR="00340425" w:rsidRPr="0035160F" w:rsidRDefault="00340425" w:rsidP="0035160F"/>
        </w:tc>
        <w:tc>
          <w:tcPr>
            <w:tcW w:w="4946" w:type="dxa"/>
          </w:tcPr>
          <w:p w:rsidR="00340425" w:rsidRPr="0035160F" w:rsidRDefault="00340425" w:rsidP="0035160F"/>
        </w:tc>
      </w:tr>
      <w:tr w:rsidR="00340425" w:rsidTr="000C3952">
        <w:trPr>
          <w:trHeight w:val="270"/>
        </w:trPr>
        <w:tc>
          <w:tcPr>
            <w:tcW w:w="3369" w:type="dxa"/>
          </w:tcPr>
          <w:p w:rsidR="00340425" w:rsidRDefault="00340425" w:rsidP="0035160F"/>
          <w:p w:rsidR="000C3952" w:rsidRDefault="000C3952" w:rsidP="0035160F"/>
          <w:p w:rsidR="000C3952" w:rsidRPr="0035160F" w:rsidRDefault="000C3952" w:rsidP="0035160F"/>
        </w:tc>
        <w:tc>
          <w:tcPr>
            <w:tcW w:w="5859" w:type="dxa"/>
          </w:tcPr>
          <w:p w:rsidR="00340425" w:rsidRPr="0035160F" w:rsidRDefault="00340425" w:rsidP="0035160F"/>
        </w:tc>
        <w:tc>
          <w:tcPr>
            <w:tcW w:w="4946" w:type="dxa"/>
          </w:tcPr>
          <w:p w:rsidR="00340425" w:rsidRPr="0035160F" w:rsidRDefault="00340425" w:rsidP="0035160F"/>
        </w:tc>
      </w:tr>
      <w:tr w:rsidR="00340425" w:rsidTr="000C3952">
        <w:trPr>
          <w:trHeight w:val="270"/>
        </w:trPr>
        <w:tc>
          <w:tcPr>
            <w:tcW w:w="3369" w:type="dxa"/>
          </w:tcPr>
          <w:p w:rsidR="00340425" w:rsidRDefault="00340425" w:rsidP="0035160F"/>
          <w:p w:rsidR="000C3952" w:rsidRDefault="000C3952" w:rsidP="0035160F"/>
          <w:p w:rsidR="000C3952" w:rsidRPr="0035160F" w:rsidRDefault="000C3952" w:rsidP="0035160F"/>
        </w:tc>
        <w:tc>
          <w:tcPr>
            <w:tcW w:w="5859" w:type="dxa"/>
          </w:tcPr>
          <w:p w:rsidR="00340425" w:rsidRPr="0035160F" w:rsidRDefault="00340425" w:rsidP="0035160F"/>
        </w:tc>
        <w:tc>
          <w:tcPr>
            <w:tcW w:w="4946" w:type="dxa"/>
          </w:tcPr>
          <w:p w:rsidR="00340425" w:rsidRPr="0035160F" w:rsidRDefault="00340425" w:rsidP="0035160F"/>
        </w:tc>
      </w:tr>
    </w:tbl>
    <w:p w:rsidR="000D50D0" w:rsidRDefault="000D50D0" w:rsidP="000D50D0"/>
    <w:p w:rsidR="003A5F6A" w:rsidRPr="000D50D0" w:rsidRDefault="003A5F6A" w:rsidP="000D50D0">
      <w:r>
        <w:t xml:space="preserve">The BIA capabilities </w:t>
      </w:r>
      <w:r w:rsidR="00266D93">
        <w:t xml:space="preserve">have been reproduced with permissions from the Department of Health. The documents from the College of Social Work are now hosted at: </w:t>
      </w:r>
      <w:hyperlink r:id="rId8" w:history="1">
        <w:r w:rsidRPr="00FF61BF">
          <w:rPr>
            <w:rStyle w:val="Hyperlink"/>
          </w:rPr>
          <w:t>http://socialworkresources.org.uk/download/bia-capabilities/</w:t>
        </w:r>
      </w:hyperlink>
      <w:r>
        <w:t xml:space="preserve"> </w:t>
      </w:r>
    </w:p>
    <w:sectPr w:rsidR="003A5F6A" w:rsidRPr="000D50D0" w:rsidSect="00DF31E9">
      <w:headerReference w:type="default" r:id="rId9"/>
      <w:footerReference w:type="default" r:id="rId10"/>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A2" w:rsidRDefault="006E41A2" w:rsidP="000D50D0">
      <w:r>
        <w:separator/>
      </w:r>
    </w:p>
  </w:endnote>
  <w:endnote w:type="continuationSeparator" w:id="0">
    <w:p w:rsidR="006E41A2" w:rsidRDefault="006E41A2"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9580"/>
      <w:docPartObj>
        <w:docPartGallery w:val="Page Numbers (Bottom of Page)"/>
        <w:docPartUnique/>
      </w:docPartObj>
    </w:sdtPr>
    <w:sdtEndPr/>
    <w:sdtContent>
      <w:p w:rsidR="00A40C62" w:rsidRDefault="00E56242">
        <w:pPr>
          <w:pStyle w:val="Footer"/>
          <w:jc w:val="right"/>
        </w:pPr>
        <w:r>
          <w:fldChar w:fldCharType="begin"/>
        </w:r>
        <w:r>
          <w:instrText xml:space="preserve"> PAGE   \* MERGEFORMAT </w:instrText>
        </w:r>
        <w:r>
          <w:fldChar w:fldCharType="separate"/>
        </w:r>
        <w:r w:rsidR="00834A00">
          <w:rPr>
            <w:noProof/>
          </w:rPr>
          <w:t>1</w:t>
        </w:r>
        <w:r>
          <w:rPr>
            <w:noProof/>
          </w:rPr>
          <w:fldChar w:fldCharType="end"/>
        </w:r>
      </w:p>
    </w:sdtContent>
  </w:sdt>
  <w:p w:rsidR="00A40C62" w:rsidRDefault="00A4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A2" w:rsidRDefault="006E41A2" w:rsidP="000D50D0">
      <w:r>
        <w:separator/>
      </w:r>
    </w:p>
  </w:footnote>
  <w:footnote w:type="continuationSeparator" w:id="0">
    <w:p w:rsidR="006E41A2" w:rsidRDefault="006E41A2" w:rsidP="000D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62" w:rsidRDefault="00A40C62" w:rsidP="000D50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708"/>
    <w:multiLevelType w:val="hybridMultilevel"/>
    <w:tmpl w:val="4544A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0D602C"/>
    <w:multiLevelType w:val="hybridMultilevel"/>
    <w:tmpl w:val="83BA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836E6"/>
    <w:multiLevelType w:val="hybridMultilevel"/>
    <w:tmpl w:val="9F6C9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D0"/>
    <w:rsid w:val="00084F36"/>
    <w:rsid w:val="000C3952"/>
    <w:rsid w:val="000D50D0"/>
    <w:rsid w:val="000E7F55"/>
    <w:rsid w:val="001440D4"/>
    <w:rsid w:val="001E07FF"/>
    <w:rsid w:val="00266D93"/>
    <w:rsid w:val="0032284A"/>
    <w:rsid w:val="00340425"/>
    <w:rsid w:val="0035160F"/>
    <w:rsid w:val="003A5F6A"/>
    <w:rsid w:val="003F47DD"/>
    <w:rsid w:val="00487D4E"/>
    <w:rsid w:val="00495CCA"/>
    <w:rsid w:val="004B26CB"/>
    <w:rsid w:val="00594C26"/>
    <w:rsid w:val="00632721"/>
    <w:rsid w:val="006E41A2"/>
    <w:rsid w:val="00743075"/>
    <w:rsid w:val="00794814"/>
    <w:rsid w:val="00834A00"/>
    <w:rsid w:val="008B0F83"/>
    <w:rsid w:val="00A40C62"/>
    <w:rsid w:val="00B34193"/>
    <w:rsid w:val="00B81771"/>
    <w:rsid w:val="00C448FB"/>
    <w:rsid w:val="00DF31E9"/>
    <w:rsid w:val="00E07117"/>
    <w:rsid w:val="00E56242"/>
    <w:rsid w:val="00E84606"/>
    <w:rsid w:val="00EA59B1"/>
    <w:rsid w:val="00F3157F"/>
    <w:rsid w:val="00FA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1F0848-6D4F-481D-A824-6C0B3FE3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FF"/>
    <w:pPr>
      <w:spacing w:after="0" w:line="240" w:lineRule="auto"/>
    </w:pPr>
    <w:rPr>
      <w:lang w:val="en-GB"/>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0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0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07FF"/>
    <w:pPr>
      <w:spacing w:before="240" w:after="60"/>
      <w:outlineLvl w:val="6"/>
    </w:pPr>
  </w:style>
  <w:style w:type="paragraph" w:styleId="Heading8">
    <w:name w:val="heading 8"/>
    <w:basedOn w:val="Normal"/>
    <w:next w:val="Normal"/>
    <w:link w:val="Heading8Char"/>
    <w:uiPriority w:val="9"/>
    <w:semiHidden/>
    <w:unhideWhenUsed/>
    <w:qFormat/>
    <w:rsid w:val="001E07FF"/>
    <w:pPr>
      <w:spacing w:before="240" w:after="60"/>
      <w:outlineLvl w:val="7"/>
    </w:pPr>
    <w:rPr>
      <w:i/>
      <w:iC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szCs w:val="32"/>
    </w:rPr>
  </w:style>
  <w:style w:type="paragraph" w:styleId="ListParagraph">
    <w:name w:val="List Paragraph"/>
    <w:basedOn w:val="Normal"/>
    <w:uiPriority w:val="34"/>
    <w:qFormat/>
    <w:rsid w:val="001E07FF"/>
    <w:pPr>
      <w:ind w:left="720"/>
      <w:contextualSpacing/>
    </w:pPr>
  </w:style>
  <w:style w:type="paragraph" w:styleId="Quote">
    <w:name w:val="Quote"/>
    <w:basedOn w:val="Normal"/>
    <w:next w:val="Normal"/>
    <w:link w:val="QuoteChar"/>
    <w:uiPriority w:val="29"/>
    <w:qFormat/>
    <w:rsid w:val="001E07FF"/>
    <w:rPr>
      <w:i/>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b/>
      <w:i/>
      <w:szCs w:val="22"/>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Header">
    <w:name w:val="header"/>
    <w:basedOn w:val="Normal"/>
    <w:link w:val="HeaderChar"/>
    <w:uiPriority w:val="99"/>
    <w:unhideWhenUsed/>
    <w:rsid w:val="000D50D0"/>
    <w:pPr>
      <w:tabs>
        <w:tab w:val="center" w:pos="4513"/>
        <w:tab w:val="right" w:pos="9026"/>
      </w:tabs>
    </w:pPr>
  </w:style>
  <w:style w:type="character" w:customStyle="1" w:styleId="HeaderChar">
    <w:name w:val="Header Char"/>
    <w:basedOn w:val="DefaultParagraphFont"/>
    <w:link w:val="Header"/>
    <w:uiPriority w:val="99"/>
    <w:rsid w:val="000D50D0"/>
    <w:rPr>
      <w:lang w:val="en-GB"/>
    </w:rPr>
  </w:style>
  <w:style w:type="paragraph" w:styleId="Footer">
    <w:name w:val="footer"/>
    <w:basedOn w:val="Normal"/>
    <w:link w:val="FooterChar"/>
    <w:uiPriority w:val="99"/>
    <w:unhideWhenUsed/>
    <w:rsid w:val="000D50D0"/>
    <w:pPr>
      <w:tabs>
        <w:tab w:val="center" w:pos="4513"/>
        <w:tab w:val="right" w:pos="9026"/>
      </w:tabs>
    </w:pPr>
  </w:style>
  <w:style w:type="character" w:customStyle="1" w:styleId="FooterChar">
    <w:name w:val="Footer Char"/>
    <w:basedOn w:val="DefaultParagraphFont"/>
    <w:link w:val="Footer"/>
    <w:uiPriority w:val="99"/>
    <w:rsid w:val="000D50D0"/>
    <w:rPr>
      <w:lang w:val="en-GB"/>
    </w:rPr>
  </w:style>
  <w:style w:type="paragraph" w:styleId="BalloonText">
    <w:name w:val="Balloon Text"/>
    <w:basedOn w:val="Normal"/>
    <w:link w:val="BalloonTextChar"/>
    <w:uiPriority w:val="99"/>
    <w:semiHidden/>
    <w:unhideWhenUsed/>
    <w:rsid w:val="000D50D0"/>
    <w:rPr>
      <w:rFonts w:ascii="Tahoma" w:hAnsi="Tahoma" w:cs="Tahoma"/>
      <w:sz w:val="16"/>
      <w:szCs w:val="16"/>
    </w:rPr>
  </w:style>
  <w:style w:type="character" w:customStyle="1" w:styleId="BalloonTextChar">
    <w:name w:val="Balloon Text Char"/>
    <w:basedOn w:val="DefaultParagraphFont"/>
    <w:link w:val="BalloonText"/>
    <w:uiPriority w:val="99"/>
    <w:semiHidden/>
    <w:rsid w:val="000D50D0"/>
    <w:rPr>
      <w:rFonts w:ascii="Tahoma" w:hAnsi="Tahoma" w:cs="Tahoma"/>
      <w:sz w:val="16"/>
      <w:szCs w:val="16"/>
      <w:lang w:val="en-GB"/>
    </w:rPr>
  </w:style>
  <w:style w:type="table" w:styleId="TableGrid">
    <w:name w:val="Table Grid"/>
    <w:basedOn w:val="TableNormal"/>
    <w:uiPriority w:val="59"/>
    <w:rsid w:val="000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0D0"/>
    <w:pPr>
      <w:autoSpaceDE w:val="0"/>
      <w:autoSpaceDN w:val="0"/>
      <w:adjustRightInd w:val="0"/>
      <w:spacing w:after="0" w:line="240" w:lineRule="auto"/>
    </w:pPr>
    <w:rPr>
      <w:color w:val="000000"/>
      <w:lang w:val="en-GB" w:bidi="ar-SA"/>
    </w:rPr>
  </w:style>
  <w:style w:type="character" w:styleId="Hyperlink">
    <w:name w:val="Hyperlink"/>
    <w:basedOn w:val="DefaultParagraphFont"/>
    <w:uiPriority w:val="99"/>
    <w:unhideWhenUsed/>
    <w:rsid w:val="003A5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resources.org.uk/download/bia-capa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12EF-4DEE-435C-8E34-CE6672A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rhubbard</dc:creator>
  <cp:keywords/>
  <dc:description/>
  <cp:lastModifiedBy>JC Miles</cp:lastModifiedBy>
  <cp:revision>2</cp:revision>
  <dcterms:created xsi:type="dcterms:W3CDTF">2018-01-04T10:27:00Z</dcterms:created>
  <dcterms:modified xsi:type="dcterms:W3CDTF">2018-01-04T10:27:00Z</dcterms:modified>
</cp:coreProperties>
</file>